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37e83"/>
          <w:sz w:val="20"/>
          <w:szCs w:val="20"/>
          <w:rtl w:val="0"/>
        </w:rPr>
        <w:t xml:space="preserve">BLOCKCHAIN · SOLIDITY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Trazabilidad alimentaria</w:t>
        <w:br w:type="textWrapping"/>
        <w:t xml:space="preserve">mediante un contrato inteligente</w:t>
      </w:r>
    </w:p>
    <w:p w:rsidR="00000000" w:rsidDel="00000000" w:rsidP="00000000" w:rsidRDefault="00000000" w:rsidRPr="00000000" w14:paraId="00000003">
      <w:pPr>
        <w:spacing w:after="400" w:lineRule="auto"/>
        <w:rPr/>
      </w:pPr>
      <w:r w:rsidDel="00000000" w:rsidR="00000000" w:rsidRPr="00000000">
        <w:rPr>
          <w:color w:val="576773"/>
          <w:sz w:val="28"/>
          <w:szCs w:val="28"/>
          <w:rtl w:val="0"/>
        </w:rPr>
        <w:t xml:space="preserve">Análisis, diseño, implementación y pruebas en Solidity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68000" cy="171119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711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6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767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76773"/>
          <w:sz w:val="16"/>
          <w:szCs w:val="16"/>
          <w:u w:val="none"/>
          <w:shd w:fill="auto" w:val="clear"/>
          <w:vertAlign w:val="baseline"/>
          <w:rtl w:val="0"/>
        </w:rPr>
        <w:t xml:space="preserve">Visión del prototipo: lotes de ingredientes, producto elaborado y custodia.</w:t>
      </w:r>
    </w:p>
    <w:p w:rsidR="00000000" w:rsidDel="00000000" w:rsidP="00000000" w:rsidRDefault="00000000" w:rsidRPr="00000000" w14:paraId="00000006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00" w:line="24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0" w:line="240" w:lineRule="auto"/>
        <w:jc w:val="right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Carla Álvarez Rego </w:t>
      </w:r>
    </w:p>
    <w:p w:rsidR="00000000" w:rsidDel="00000000" w:rsidP="00000000" w:rsidRDefault="00000000" w:rsidRPr="00000000" w14:paraId="00000015">
      <w:pPr>
        <w:widowControl w:val="0"/>
        <w:spacing w:after="200" w:line="240" w:lineRule="auto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2e3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sz w:val="25"/>
          <w:szCs w:val="25"/>
          <w:rtl w:val="0"/>
        </w:rPr>
        <w:t xml:space="preserve">Ibrahim Méndez Fernández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right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1. Análisis y definición del escenario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1.1. Necesidad que resuelve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 una cadena alimentaria, productores, plantas de transformación, almacenes y distribuidores suelen registrar su información por separado. Esto dificulta reconstruir el recorrido de un producto y averiguar qué lotes de materias primas participaron en su elaboración.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 plantea un registro compartido en el que cada empresa autorizada firma con su dirección de Ethereum las operaciones que declara. Cualquier persona puede consultar la procedencia y las etapas de un lote sin depender de la base de datos de una única empresa.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1.2. Justificación de blockchain pública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2e39"/>
          <w:sz w:val="19"/>
          <w:szCs w:val="19"/>
          <w:u w:val="none"/>
          <w:shd w:fill="auto" w:val="clear"/>
          <w:vertAlign w:val="baseline"/>
          <w:rtl w:val="0"/>
        </w:rPr>
        <w:t xml:space="preserve">Trazabilidad verificable: cada actualización queda vinculada a una transacción y a la dirección que la firmó.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2e39"/>
          <w:sz w:val="19"/>
          <w:szCs w:val="19"/>
          <w:u w:val="none"/>
          <w:shd w:fill="auto" w:val="clear"/>
          <w:vertAlign w:val="baseline"/>
          <w:rtl w:val="0"/>
        </w:rPr>
        <w:t xml:space="preserve">Registro común entre organizaciones: los movimientos no dependen de que una de ellas controle toda la infraestructura.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2e39"/>
          <w:sz w:val="19"/>
          <w:szCs w:val="19"/>
          <w:u w:val="none"/>
          <w:shd w:fill="auto" w:val="clear"/>
          <w:vertAlign w:val="baseline"/>
          <w:rtl w:val="0"/>
        </w:rPr>
        <w:t xml:space="preserve">Auditoría externa: la información on-chain y los eventos son públicos y pueden consultarse por cualquier usuario externo.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1.3. Ejemplo de uso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Una finca crea el lote 1 (tomate) y una almazara registra el lote 2 (aceite). Tras transferirse ambos a una fábrica, esta crea el lote 3 (salsa) e indica que procede de [1, 2]. El lote 3 se transfiere a un almacén y se anotan las ubicaciones visitadas. Consultando el lote 3 se accede a sus insumos y, desde ellos, al origen y a su propio historial.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2. Diseño del contrato inteligente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2.1. Actores y casos de uso</w:t>
      </w:r>
    </w:p>
    <w:p w:rsidR="00000000" w:rsidDel="00000000" w:rsidP="00000000" w:rsidRDefault="00000000" w:rsidRPr="00000000" w14:paraId="00000025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58000" cy="289738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897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6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767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76773"/>
          <w:sz w:val="16"/>
          <w:szCs w:val="16"/>
          <w:u w:val="none"/>
          <w:shd w:fill="auto" w:val="clear"/>
          <w:vertAlign w:val="baseline"/>
          <w:rtl w:val="0"/>
        </w:rPr>
        <w:t xml:space="preserve">Figura 1. Usuarios y casos de uso del contrato.</w:t>
      </w:r>
    </w:p>
    <w:tbl>
      <w:tblPr>
        <w:tblStyle w:val="Table1"/>
        <w:tblW w:w="9468.0" w:type="dxa"/>
        <w:jc w:val="center"/>
        <w:tblLayout w:type="fixed"/>
        <w:tblLook w:val="0400"/>
      </w:tblPr>
      <w:tblGrid>
        <w:gridCol w:w="4734"/>
        <w:gridCol w:w="4734"/>
        <w:tblGridChange w:id="0">
          <w:tblGrid>
            <w:gridCol w:w="4734"/>
            <w:gridCol w:w="4734"/>
          </w:tblGrid>
        </w:tblGridChange>
      </w:tblGrid>
      <w:tr>
        <w:trPr>
          <w:cantSplit w:val="0"/>
          <w:tblHeader w:val="0"/>
        </w:trPr>
        <w:tc>
          <w:tcPr>
            <w:shd w:fill="183348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348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29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2A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Registra nombres y autoriza o revoca operadores. También es operador por defecto al desplegar el contrato.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Productor / fabricante / distribuidor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Crea lotes, registra pasos, propone/cancela envíos y acepta los que recibe, siempre que esté autorizado y tenga custodia.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2D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Consumidor /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2E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Consulta lotes, ingredientes y pasos sin registrarse y sin efectuar transacciones.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sistema utiliza una única categoría técnica de operador autorizado. Productor, fabricante y distribuidor son los usuarios de negocio que realizan esas operaciones.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2.2. Datos, funciones y reglas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Estructura de datos</w:t>
      </w:r>
    </w:p>
    <w:tbl>
      <w:tblPr>
        <w:tblStyle w:val="Table2"/>
        <w:tblW w:w="9468.0" w:type="dxa"/>
        <w:jc w:val="center"/>
        <w:tblLayout w:type="fixed"/>
        <w:tblLook w:val="0400"/>
      </w:tblPr>
      <w:tblGrid>
        <w:gridCol w:w="4734"/>
        <w:gridCol w:w="4734"/>
        <w:tblGridChange w:id="0">
          <w:tblGrid>
            <w:gridCol w:w="4734"/>
            <w:gridCol w:w="4734"/>
          </w:tblGrid>
        </w:tblGridChange>
      </w:tblGrid>
      <w:tr>
        <w:trPr>
          <w:cantSplit w:val="0"/>
          <w:tblHeader w:val="0"/>
        </w:trPr>
        <w:tc>
          <w:tcPr>
            <w:shd w:fill="183348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348" w:val="clear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Contenido y finalidad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36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37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name; creator; custodian; pendingRecipient; createdAt; isProduct.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operator; timestamp; location: operador que registra el paso, fecha y ubicación declarada.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3A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batchIngredients[id]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3B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Lista de identificadores de lotes utilizados como insumos de un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operators[address]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Permiso para emitir operaciones de escritura.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3E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3F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Cambios de nombres y permisos de operadores, creación, pasos y transferencias para auditoría e indexación.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operatorNames[address]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Nombre público del operador asignado por el administrador; la dirección identifica al operador.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Operaciones disponibles</w:t>
      </w:r>
    </w:p>
    <w:tbl>
      <w:tblPr>
        <w:tblStyle w:val="Table3"/>
        <w:tblW w:w="9468.0" w:type="dxa"/>
        <w:jc w:val="center"/>
        <w:tblLayout w:type="fixed"/>
        <w:tblLook w:val="0400"/>
      </w:tblPr>
      <w:tblGrid>
        <w:gridCol w:w="4734"/>
        <w:gridCol w:w="4734"/>
        <w:tblGridChange w:id="0">
          <w:tblGrid>
            <w:gridCol w:w="4734"/>
            <w:gridCol w:w="4734"/>
          </w:tblGrid>
        </w:tblGridChange>
      </w:tblGrid>
      <w:tr>
        <w:trPr>
          <w:cantSplit w:val="0"/>
          <w:tblHeader w:val="0"/>
        </w:trPr>
        <w:tc>
          <w:tcPr>
            <w:shd w:fill="183348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Función / getter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348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46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registerOperator(operator,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47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Registra o actualiza un nombre de 1 a 64 bytes y autoriza la dirección. Solo puede llamarlo 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48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setOperator(operator, authorized)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49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El administrador autoriza o revoca la dirección operator según authorized sin borrar su nombre.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createBatch(name, initialLocation, ingredients)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Registra lote, lugar inicial y lista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4C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recordStep(batchId, location)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4D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Añade una ubicación del lote, firmada por su custodio.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proposeTransfer(batchId, recipient)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Inicia el cambio de custodia hacia otro operador.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50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acceptTransfer(batchId, location)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51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El destinatario acepta; se actualiza el custodio y se añade la recepción.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cancelTransfer(batchId)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El custodio cancela una propuesta sin aceptar.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54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batches(batchId), getIngredients(batchId), stepCount(batchId), getStep(batchId, 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55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Lecturas públicas para reconstruir el producto y su recorrido.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56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operatorNames(operator)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57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Consulta pública del nombre actual asociado a la dirección.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Se</w:t>
            </w: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 muestra junto al address.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Invariantes de negocio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2e39"/>
          <w:sz w:val="19"/>
          <w:szCs w:val="19"/>
          <w:u w:val="none"/>
          <w:shd w:fill="auto" w:val="clear"/>
          <w:vertAlign w:val="baseline"/>
          <w:rtl w:val="0"/>
        </w:rPr>
        <w:t xml:space="preserve">Solo el administrador registra nombres y habilita operadores; únicamente los operadores habilitados pueden escribir. registerOperator asigna o actualiza el nombre y autoriza la dirección; setOperator modifica el permiso sin borrar el nombre.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2e39"/>
          <w:sz w:val="19"/>
          <w:szCs w:val="19"/>
          <w:u w:val="none"/>
          <w:shd w:fill="auto" w:val="clear"/>
          <w:vertAlign w:val="baseline"/>
          <w:rtl w:val="0"/>
        </w:rPr>
        <w:t xml:space="preserve">Solo el custodio registra pasos o propone/cancela transferencias sobre su lote.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2e39"/>
          <w:sz w:val="19"/>
          <w:szCs w:val="19"/>
          <w:u w:val="none"/>
          <w:shd w:fill="auto" w:val="clear"/>
          <w:vertAlign w:val="baseline"/>
          <w:rtl w:val="0"/>
        </w:rPr>
        <w:t xml:space="preserve">Las transferencias requieren propuesta del custodio y aceptación del destinatario registrado.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2e39"/>
          <w:sz w:val="19"/>
          <w:szCs w:val="19"/>
          <w:u w:val="none"/>
          <w:shd w:fill="auto" w:val="clear"/>
          <w:vertAlign w:val="baseline"/>
          <w:rtl w:val="0"/>
        </w:rPr>
        <w:t xml:space="preserve">Los ingredientes deben existir, estar bajo custodia del creador y no repetirse en la misma lista. Cada lote conserva su propia custodia: crear o transferir un producto no cambia los custodios de sus lotes de entrada. En la tabla, el producto consultado muestra su custodio actual y los ingredientes su custodio al incorporarse a cada producto. Este custodio anterior corresponde a creator del producto inmediato, ya que createBatch exige que su creador custodie los ingredientes. Si un ingrediente interviene en varias elaboraciones, se muestran sus distintos contextos.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2e39"/>
          <w:sz w:val="19"/>
          <w:szCs w:val="19"/>
          <w:u w:val="none"/>
          <w:shd w:fill="auto" w:val="clear"/>
          <w:vertAlign w:val="baseline"/>
          <w:rtl w:val="0"/>
        </w:rPr>
        <w:t xml:space="preserve">Los ingredientes siempre tienen un ID anterior al producto: las dependencias no forman ciclos.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2e39"/>
          <w:sz w:val="19"/>
          <w:szCs w:val="19"/>
          <w:u w:val="none"/>
          <w:shd w:fill="auto" w:val="clear"/>
          <w:vertAlign w:val="baseline"/>
          <w:rtl w:val="0"/>
        </w:rPr>
        <w:t xml:space="preserve">Un lote sin insumos se considera materia prima; con insumos, producto elaborado.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3. Implementación en Solidity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3.1. Organización del código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 fichero FoodTraceability.sol contiene un contrato autónomo, sin librerías externas ni tokens. Su constructor asigna la administración a la cuenta que despliega y la autoriza como operador. El contrato se compila con Solidity 0.8.20 o una versión posterior compatible dentro de la rama 0.8.x.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 usan estructuras para cada lote y paso, mappings para las búsquedas por ID, arrays de insumos y pasos, modificadores para comprobar permisos, errores personalizados para abortar operaciones incorrectas y eventos para facilitar la consulta externa de transacciones.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3.2. Ejemplo de relaciones entre lotes</w:t>
      </w:r>
    </w:p>
    <w:p w:rsidR="00000000" w:rsidDel="00000000" w:rsidP="00000000" w:rsidRDefault="00000000" w:rsidRPr="00000000" w14:paraId="00000066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03999" cy="172169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21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6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767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76773"/>
          <w:sz w:val="16"/>
          <w:szCs w:val="16"/>
          <w:u w:val="none"/>
          <w:shd w:fill="auto" w:val="clear"/>
          <w:vertAlign w:val="baseline"/>
          <w:rtl w:val="0"/>
        </w:rPr>
        <w:t xml:space="preserve">Figura 2. Los ingredientes forman un grafo de procedencia y cada lote mantiene sus propios pasos.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3.3. Decisiones de optimización de gas</w:t>
      </w:r>
    </w:p>
    <w:tbl>
      <w:tblPr>
        <w:tblStyle w:val="Table4"/>
        <w:tblW w:w="9468.0" w:type="dxa"/>
        <w:jc w:val="center"/>
        <w:tblLayout w:type="fixed"/>
        <w:tblLook w:val="0400"/>
      </w:tblPr>
      <w:tblGrid>
        <w:gridCol w:w="4734"/>
        <w:gridCol w:w="4734"/>
        <w:tblGridChange w:id="0">
          <w:tblGrid>
            <w:gridCol w:w="4734"/>
            <w:gridCol w:w="4734"/>
          </w:tblGrid>
        </w:tblGridChange>
      </w:tblGrid>
      <w:tr>
        <w:trPr>
          <w:cantSplit w:val="0"/>
          <w:tblHeader w:val="0"/>
        </w:trPr>
        <w:tc>
          <w:tcPr>
            <w:shd w:fill="183348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348" w:val="clea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6B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calldata en las 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6C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Evita copias innecesarias de cadenas y listas durante las llamadas.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Errores personalizados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Reducen el coste frente a mensajes de error extensos guardados en bytecode.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6F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immutable para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70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Evita lecturas de almacenamiento ordinario para una dirección fija.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uint64 y empaquetado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En Step, operator (address) y timestamp (uint64) comparten una ranura de almacenamiento.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73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IDs y mappings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74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Los identificadores correlativos y los mappings permiten consultar lotes sin mantener una lista global adicional.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Máximo de 20 ingredientes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7"/>
                <w:szCs w:val="17"/>
                <w:rtl w:val="0"/>
              </w:rPr>
              <w:t xml:space="preserve">Acota el coste de la comprobación de duplicados (O(n²)).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4. Pruebas en Remix IDE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4.1. Secuencia positiva reproducible</w:t>
      </w:r>
    </w:p>
    <w:tbl>
      <w:tblPr>
        <w:tblStyle w:val="Table5"/>
        <w:tblW w:w="9450.0" w:type="dxa"/>
        <w:jc w:val="center"/>
        <w:tblLayout w:type="fixed"/>
        <w:tblLook w:val="0400"/>
      </w:tblPr>
      <w:tblGrid>
        <w:gridCol w:w="3150"/>
        <w:gridCol w:w="3270"/>
        <w:gridCol w:w="3030"/>
        <w:tblGridChange w:id="0">
          <w:tblGrid>
            <w:gridCol w:w="3150"/>
            <w:gridCol w:w="3270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183348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348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Acción en Remix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348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7E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7F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createBatch("Tomate", "ES-Murcia-Finca01", [])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80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ID 1; paso 0 en Murcia.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createBatch("Aceite", "ES-Jaen-Almazara01", [])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ID 2; paso 0 en Jaén.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84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A1 → 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85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proposeTransfer(1,A2)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86">
            <w:pPr>
              <w:spacing w:after="46" w:before="46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traspasa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87">
            <w:pPr>
              <w:spacing w:after="46" w:before="46" w:line="252.00000000000003" w:lineRule="auto"/>
              <w:rPr>
                <w:color w:val="1c2e39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88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acceptTransfer(1,"ES-Valencia-Planta01")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89">
            <w:pPr>
              <w:spacing w:after="46" w:before="46" w:line="252.00000000000003" w:lineRule="auto"/>
              <w:rPr>
                <w:color w:val="1c2e39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Lote 1 bajo custodia de A2.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A1 → 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proposeTransfer(2,A2)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8C">
            <w:pPr>
              <w:spacing w:after="46" w:before="46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traspasa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46" w:before="46" w:line="252.00000000000003" w:lineRule="auto"/>
              <w:rPr>
                <w:color w:val="1c2e39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46" w:before="46" w:line="252.00000000000003" w:lineRule="auto"/>
              <w:rPr>
                <w:color w:val="1c2e39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acceptTransfer(2,"ES-Valencia-Planta01")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46" w:before="46" w:line="252.00000000000003" w:lineRule="auto"/>
              <w:rPr>
                <w:color w:val="1c2e39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Lote 2 bajo custodia de A2.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90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91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createBatch("Salsa de tomate", "ES-Valencia-Planta01", [1,2])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92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ID 3; isProduct =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A2 → 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proposeTransfer(3,A3)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traspasa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46" w:before="46" w:line="252.00000000000003" w:lineRule="auto"/>
              <w:rPr>
                <w:color w:val="1c2e39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46" w:before="46" w:line="252.00000000000003" w:lineRule="auto"/>
              <w:rPr>
                <w:color w:val="1c2e39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acceptTransfer(3,"ES-Madrid-Almacen01")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46" w:before="46" w:line="252.00000000000003" w:lineRule="auto"/>
              <w:rPr>
                <w:color w:val="1c2e39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Lote 3 bajo custodia de A3.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99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9A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recordStep(3,"ES-Madrid-Tienda01")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9B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6"/>
                <w:szCs w:val="16"/>
                <w:rtl w:val="0"/>
              </w:rPr>
              <w:t xml:space="preserve">Lote 3 tiene 3 pasos.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Las funciones que escriben estado consumen gas simulado. El ID se observa en el evento BatchCreated y con nextBatchId (cuyo valor queda apuntando al ID siguiente). Los errores se muestran si una transacción revierte.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4.2. Casos de prueba y resultados esperados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 siguiente matriz sirve para registrar evidencias en Remix. Se indica el resultado que debe observarse; no se presentan como pruebas ejecutadas desde esta memoria.</w:t>
      </w:r>
    </w:p>
    <w:tbl>
      <w:tblPr>
        <w:tblStyle w:val="Table6"/>
        <w:tblW w:w="9468.0" w:type="dxa"/>
        <w:jc w:val="center"/>
        <w:tblLayout w:type="fixed"/>
        <w:tblLook w:val="0400"/>
      </w:tblPr>
      <w:tblGrid>
        <w:gridCol w:w="3156"/>
        <w:gridCol w:w="3156"/>
        <w:gridCol w:w="3156"/>
        <w:tblGridChange w:id="0">
          <w:tblGrid>
            <w:gridCol w:w="3156"/>
            <w:gridCol w:w="3156"/>
            <w:gridCol w:w="3156"/>
          </w:tblGrid>
        </w:tblGridChange>
      </w:tblGrid>
      <w:tr>
        <w:trPr>
          <w:cantSplit w:val="0"/>
          <w:tblHeader w:val="0"/>
        </w:trPr>
        <w:tc>
          <w:tcPr>
            <w:shd w:fill="183348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348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Acción o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348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A5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A6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operators(A1), operators(A2), operators(A3)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A7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true, true,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batches(3)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name = Salsa de tomate; creator = A2; custodian = A3; isProduct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AB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AC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getIngredients(3)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AD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[1,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stepCount(3)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B1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B2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getStep(3,0/1/2)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B3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ES-Valencia-Planta01</w:t>
            </w: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/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ES-Madrid-Almacen01</w:t>
            </w: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 /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ES-Madrid-Tienda01</w:t>
            </w: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; direcciones A2 / A3 / 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A4 llama createBatch("X", "ES-XX", [])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Reversión: UnauthorizedOperator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B7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B8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A1 intenta crear lote con ingredientes [1,2] tras la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B9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Reversión: NotCustodian(1)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A2 intenta crear lote con ingredientes [1,1]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Reversión: DuplicateIngredient(1)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BD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BE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A2 intenta crear lote con ingredientes [999]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BF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Reversión: InvalidIngredient(999)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A1 intenta proposeTransfer(3,A2)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Reversión: NotCustodian(3)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C3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C4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A2 intenta acceptTransfer(3,"ES-X") sin propuesta a su favor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C5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Reversión: NotAssignedRecipient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C6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P06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C7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operatorNames(A1), operatorNames(A2), operatorNames(A3)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e6e9" w:space="0" w:sz="4" w:val="single"/>
            </w:tcBorders>
            <w:shd w:fill="f5f9fa" w:val="clear"/>
            <w:vAlign w:val="center"/>
          </w:tcPr>
          <w:p w:rsidR="00000000" w:rsidDel="00000000" w:rsidP="00000000" w:rsidRDefault="00000000" w:rsidRPr="00000000" w14:paraId="000000C8">
            <w:pPr>
              <w:spacing w:after="46" w:before="46" w:line="252.00000000000003" w:lineRule="auto"/>
              <w:rPr/>
            </w:pPr>
            <w:r w:rsidDel="00000000" w:rsidR="00000000" w:rsidRPr="00000000">
              <w:rPr>
                <w:color w:val="1c2e39"/>
                <w:sz w:val="15"/>
                <w:szCs w:val="15"/>
                <w:rtl w:val="0"/>
              </w:rPr>
              <w:t xml:space="preserve">Cooperativa Huerta Sur / Elaborados Valencia / Distribuidora Madrid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4.3. Pruebas unitarias y de integración en Solidity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Las pruebas opcionales se implementan en Solidity y se ejecutan desde el plugin Solidity Unit Testing de Remix. Cada archivo termina en _test.sol e importa remix_tests.sol. Permissions_test.sol importa también remix_accounts.sol para comprobar el contexto #sender: account-1.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Los casos usan Assert.equal, Assert.notEqual y Assert.ok. beforeEach() despliega una instancia nueva de FoodTraceability y actores nuevos mediante TraceabilityTestSupport. Los actores producer, factory, distributor y outsider proporcionan llamadores distintos; la suite que despliega el contrato es admin. Los negativos comparan el selector y los argumentos completos del error personalizado.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Batches_test.sol: 10 casos de creación y consulta de lotes, ingredientes, textos UTF-8, límites de 20/21 ingredientes, pasos y reversión de escrituras parciales. Permissions_test.sol: 11 casos de administración, autorización, custodia, nombres, límites UTF-8 del nombre, conservación del nombre al revocar y contexto del remitente.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Transfers_test.sol: 8 casos de propuesta, cancelación, aceptación y destinatarios o ubicaciones incorrectos. Integration_test.sol: 3 recorridos que comprueban la cadena productor → fábrica → distribuidor, productos usados como ingredientes y reutilización de insumos.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Para ejecutarlas, activar Solidity Unit Testing en Plugin Manager, seleccionar /ej5/tests, marcar Batches_test.sol, Permissions_test.sol, Transfers_test.sol e Integration_test.sol y pulsar Run. Remix proporciona automáticamente remix_tests.sol y remix_accounts.sol. Mantener la configuración de compilación de 4.1; no es necesario desplegar el contrato manualmente para estas suites.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 la ejecución manual de Remix se inspeccionan también los eventos de los recibos. Para comparar gas se utilizan llamadas directas al contrato con las mismas entradas y estado; el gas de una función de prueba incluye actores, aserciones y otras operaciones.</w:t>
      </w:r>
    </w:p>
    <w:sectPr>
      <w:headerReference r:id="rId9" w:type="default"/>
      <w:footerReference r:id="rId10" w:type="default"/>
      <w:pgSz w:h="16838" w:w="11906" w:orient="portrait"/>
      <w:pgMar w:bottom="1134" w:top="1162" w:left="1219" w:right="1219" w:header="62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c2e39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76773"/>
        <w:sz w:val="16"/>
        <w:szCs w:val="16"/>
        <w:u w:val="none"/>
        <w:shd w:fill="auto" w:val="clear"/>
        <w:vertAlign w:val="baseline"/>
        <w:rtl w:val="0"/>
      </w:rPr>
      <w:t xml:space="preserve">Ejercicio de contrato inteligente · Octubre 2026    | 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c2e39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64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c2e39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37e83"/>
        <w:sz w:val="16"/>
        <w:szCs w:val="16"/>
        <w:u w:val="none"/>
        <w:shd w:fill="auto" w:val="clear"/>
        <w:vertAlign w:val="baseline"/>
        <w:rtl w:val="0"/>
      </w:rPr>
      <w:t xml:space="preserve">TRAZABILIDAD ALIMENTARIA  /  MEMORIA TÉCNICA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c2e39"/>
        <w:sz w:val="19"/>
        <w:szCs w:val="19"/>
        <w:lang w:val="en"/>
      </w:rPr>
    </w:rPrDefault>
    <w:pPrDefault>
      <w:pPr>
        <w:spacing w:after="124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00" w:lineRule="auto"/>
    </w:pPr>
    <w:rPr>
      <w:rFonts w:ascii="Play" w:cs="Play" w:eastAsia="Play" w:hAnsi="Play"/>
      <w:b w:val="1"/>
      <w:bCs w:val="1"/>
      <w:color w:val="183348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rFonts w:ascii="Aptos" w:cs="Aptos" w:eastAsia="Aptos" w:hAnsi="Aptos"/>
      <w:b w:val="1"/>
      <w:bCs w:val="1"/>
      <w:color w:val="183348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Aptos" w:cs="Aptos" w:eastAsia="Aptos" w:hAnsi="Aptos"/>
      <w:b w:val="1"/>
      <w:bCs w:val="1"/>
      <w:color w:val="137e83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200" w:before="0" w:line="240" w:lineRule="auto"/>
    </w:pPr>
    <w:rPr>
      <w:rFonts w:ascii="Play" w:cs="Play" w:eastAsia="Play" w:hAnsi="Play"/>
      <w:b w:val="1"/>
      <w:bCs w:val="1"/>
      <w:color w:val="183348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PieFigura" w:customStyle="1">
    <w:name w:val="PieFigura"/>
    <w:pPr>
      <w:spacing w:after="180" w:before="60"/>
    </w:pPr>
    <w:rPr>
      <w:rFonts w:ascii="Aptos" w:hAnsi="Aptos"/>
      <w:i w:val="1"/>
      <w:color w:val="576773"/>
      <w:sz w:val="16"/>
    </w:rPr>
  </w:style>
  <w:style w:type="paragraph" w:styleId="TextoPequeno" w:customStyle="1">
    <w:name w:val="TextoPequeno"/>
    <w:pPr>
      <w:spacing w:after="100" w:line="264" w:lineRule="auto"/>
    </w:pPr>
    <w:rPr>
      <w:rFonts w:ascii="Aptos" w:hAnsi="Aptos"/>
      <w:color w:val="1c2e39"/>
      <w:sz w:val="17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DPYJyiJ2WYE145rLY7gBfaSC+A==">CgMxLjA4AHIhMWd1aU5DeE0xakViQ1czS3Z6Z1dxUDFRcUtSWHB3YnRy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