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413E2" w14:textId="230D2441" w:rsidR="00F55C42" w:rsidRPr="00544E4C" w:rsidRDefault="00544E4C">
      <w:pPr>
        <w:rPr>
          <w:rFonts w:ascii="Times New Roman" w:hAnsi="Times New Roman" w:cs="Times New Roman"/>
        </w:rPr>
      </w:pPr>
      <w:r w:rsidRPr="00544E4C">
        <w:rPr>
          <w:rFonts w:ascii="Times New Roman" w:hAnsi="Times New Roman" w:cs="Times New Roman"/>
        </w:rPr>
        <w:t>Highlights</w:t>
      </w:r>
    </w:p>
    <w:p w14:paraId="4C1C27EF" w14:textId="77777777" w:rsidR="00BB363B" w:rsidRPr="00BB363B" w:rsidRDefault="00BB363B" w:rsidP="00BB363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BB363B">
        <w:rPr>
          <w:rFonts w:ascii="Times New Roman" w:hAnsi="Times New Roman" w:cs="Times New Roman"/>
        </w:rPr>
        <w:t>Comparative framework: fixed GA strategy vs. adaptive MPC approach</w:t>
      </w:r>
    </w:p>
    <w:p w14:paraId="6F34D98F" w14:textId="15644A5B" w:rsidR="00BB363B" w:rsidRPr="00BB363B" w:rsidRDefault="00BB363B" w:rsidP="00BB363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BB363B">
        <w:rPr>
          <w:rFonts w:ascii="Times New Roman" w:hAnsi="Times New Roman" w:cs="Times New Roman"/>
        </w:rPr>
        <w:t>Bayesian Optimization (TPE) for automated MPC weight tuning</w:t>
      </w:r>
    </w:p>
    <w:p w14:paraId="598B25B4" w14:textId="59D4376B" w:rsidR="00BB363B" w:rsidRPr="00BB363B" w:rsidRDefault="00BB363B" w:rsidP="00BB363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BB363B">
        <w:rPr>
          <w:rFonts w:ascii="Times New Roman" w:hAnsi="Times New Roman" w:cs="Times New Roman"/>
        </w:rPr>
        <w:t>Risk-return tradeoff analysis via coefficient of variation</w:t>
      </w:r>
    </w:p>
    <w:p w14:paraId="4A3253AA" w14:textId="1167DA30" w:rsidR="00BB363B" w:rsidRPr="00BB363B" w:rsidRDefault="00BB363B" w:rsidP="00BB363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BB363B">
        <w:rPr>
          <w:rFonts w:ascii="Times New Roman" w:hAnsi="Times New Roman" w:cs="Times New Roman"/>
        </w:rPr>
        <w:t>Stochastic weather scenarios: drought, normal, wet conditions</w:t>
      </w:r>
    </w:p>
    <w:p w14:paraId="6FAF2A78" w14:textId="389AD4DD" w:rsidR="00544E4C" w:rsidRPr="00544E4C" w:rsidRDefault="00BB363B" w:rsidP="00BB363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BB363B">
        <w:rPr>
          <w:rFonts w:ascii="Times New Roman" w:hAnsi="Times New Roman" w:cs="Times New Roman"/>
        </w:rPr>
        <w:t>Decision guidance: MPC for risk-averse, GA for drought-prone regions</w:t>
      </w:r>
    </w:p>
    <w:sectPr w:rsidR="00544E4C" w:rsidRPr="00544E4C" w:rsidSect="001B2B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C25A44"/>
    <w:multiLevelType w:val="hybridMultilevel"/>
    <w:tmpl w:val="6E2C03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11508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E4C"/>
    <w:rsid w:val="001340FE"/>
    <w:rsid w:val="001B2BB8"/>
    <w:rsid w:val="0052597E"/>
    <w:rsid w:val="00544E4C"/>
    <w:rsid w:val="00636C30"/>
    <w:rsid w:val="007137F4"/>
    <w:rsid w:val="00721A0A"/>
    <w:rsid w:val="0076626A"/>
    <w:rsid w:val="00824C09"/>
    <w:rsid w:val="008D6049"/>
    <w:rsid w:val="00A45A2E"/>
    <w:rsid w:val="00BB363B"/>
    <w:rsid w:val="00D00219"/>
    <w:rsid w:val="00DD0F17"/>
    <w:rsid w:val="00E80C6C"/>
    <w:rsid w:val="00F55C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9368109"/>
  <w14:defaultImageDpi w14:val="32767"/>
  <w15:chartTrackingRefBased/>
  <w15:docId w15:val="{F4FA613E-2547-B243-8C13-3334BCBA2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4E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4E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4E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4E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4E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E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4E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4E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4E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4E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4E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4E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4E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4E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4E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4E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4E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4E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4E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4E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4E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4E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4E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4E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4E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4E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4E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4E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4E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37</Words>
  <Characters>291</Characters>
  <Application>Microsoft Office Word</Application>
  <DocSecurity>0</DocSecurity>
  <Lines>5</Lines>
  <Paragraphs>6</Paragraphs>
  <ScaleCrop>false</ScaleCrop>
  <Company/>
  <LinksUpToDate>false</LinksUpToDate>
  <CharactersWithSpaces>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Carla Becker</dc:creator>
  <cp:keywords/>
  <dc:description/>
  <cp:lastModifiedBy>Carla Becker</cp:lastModifiedBy>
  <cp:revision>2</cp:revision>
  <dcterms:created xsi:type="dcterms:W3CDTF">2026-01-18T11:06:00Z</dcterms:created>
  <dcterms:modified xsi:type="dcterms:W3CDTF">2026-01-18T11:16:00Z</dcterms:modified>
</cp:coreProperties>
</file>