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A9863" w14:textId="2B0AF919" w:rsidR="00DC1A4D" w:rsidRPr="00DC1A4D" w:rsidRDefault="00DC1A4D" w:rsidP="00DC1A4D">
      <w:pPr>
        <w:spacing w:after="0"/>
        <w:rPr>
          <w:rFonts w:ascii="Times New Roman" w:hAnsi="Times New Roman" w:cs="Times New Roman"/>
          <w:b/>
          <w:bCs/>
          <w:color w:val="000000"/>
          <w:kern w:val="0"/>
          <w:sz w:val="32"/>
          <w:szCs w:val="32"/>
        </w:rPr>
      </w:pPr>
      <w:r w:rsidRPr="00DC1A4D">
        <w:rPr>
          <w:rFonts w:ascii="Times New Roman" w:hAnsi="Times New Roman" w:cs="Times New Roman"/>
          <w:b/>
          <w:bCs/>
          <w:color w:val="000000"/>
          <w:kern w:val="0"/>
          <w:sz w:val="32"/>
          <w:szCs w:val="32"/>
        </w:rPr>
        <w:t>Response to Reviewer Comments</w:t>
      </w:r>
    </w:p>
    <w:p w14:paraId="5CD4B4C7" w14:textId="77777777" w:rsidR="00DC1A4D" w:rsidRPr="00DC1A4D" w:rsidRDefault="00DC1A4D" w:rsidP="00DC1A4D">
      <w:pPr>
        <w:spacing w:after="0"/>
        <w:rPr>
          <w:rFonts w:ascii="Times New Roman" w:hAnsi="Times New Roman" w:cs="Times New Roman"/>
          <w:b/>
          <w:bCs/>
          <w:color w:val="000000"/>
          <w:kern w:val="0"/>
        </w:rPr>
      </w:pPr>
    </w:p>
    <w:p w14:paraId="6C37588A" w14:textId="5F02F99D" w:rsidR="00DC1A4D" w:rsidRPr="00DC1A4D" w:rsidRDefault="00DC1A4D" w:rsidP="00DC1A4D">
      <w:pPr>
        <w:spacing w:after="0"/>
        <w:rPr>
          <w:rFonts w:ascii="Times New Roman" w:hAnsi="Times New Roman" w:cs="Times New Roman"/>
          <w:b/>
          <w:bCs/>
          <w:color w:val="000000"/>
          <w:kern w:val="0"/>
          <w:sz w:val="28"/>
          <w:szCs w:val="28"/>
        </w:rPr>
      </w:pPr>
      <w:r w:rsidRPr="00DC1A4D">
        <w:rPr>
          <w:rFonts w:ascii="Times New Roman" w:hAnsi="Times New Roman" w:cs="Times New Roman"/>
          <w:b/>
          <w:bCs/>
          <w:color w:val="000000"/>
          <w:kern w:val="0"/>
          <w:sz w:val="28"/>
          <w:szCs w:val="28"/>
        </w:rPr>
        <w:t>Major Comments</w:t>
      </w:r>
    </w:p>
    <w:p w14:paraId="224C8598" w14:textId="77777777" w:rsidR="00DC1A4D" w:rsidRPr="00DC1A4D" w:rsidRDefault="00DC1A4D" w:rsidP="00DC1A4D">
      <w:pPr>
        <w:spacing w:after="0"/>
        <w:rPr>
          <w:rFonts w:ascii="Times New Roman" w:hAnsi="Times New Roman" w:cs="Times New Roman"/>
          <w:color w:val="000000"/>
          <w:kern w:val="0"/>
        </w:rPr>
      </w:pPr>
    </w:p>
    <w:p w14:paraId="6CADDB6D" w14:textId="34F1EB51" w:rsidR="00DC1A4D" w:rsidRPr="00DC1A4D" w:rsidRDefault="00DC1A4D" w:rsidP="00DC1A4D">
      <w:pPr>
        <w:spacing w:after="0"/>
        <w:rPr>
          <w:rFonts w:ascii="Times New Roman" w:hAnsi="Times New Roman" w:cs="Times New Roman"/>
          <w:color w:val="215E99" w:themeColor="text2" w:themeTint="BF"/>
          <w:kern w:val="0"/>
        </w:rPr>
      </w:pPr>
      <w:r w:rsidRPr="00DC1A4D">
        <w:rPr>
          <w:rFonts w:ascii="Times New Roman" w:hAnsi="Times New Roman" w:cs="Times New Roman"/>
          <w:b/>
          <w:bCs/>
          <w:color w:val="215E99" w:themeColor="text2" w:themeTint="BF"/>
          <w:kern w:val="0"/>
        </w:rPr>
        <w:t xml:space="preserve">1. </w:t>
      </w:r>
      <w:r w:rsidRPr="00DC1A4D">
        <w:rPr>
          <w:rFonts w:ascii="Times New Roman" w:hAnsi="Times New Roman" w:cs="Times New Roman"/>
          <w:color w:val="215E99" w:themeColor="text2" w:themeTint="BF"/>
          <w:kern w:val="0"/>
        </w:rPr>
        <w:t xml:space="preserve"> "The GA optimizes four scalar parameters while MPC solves a daily continuous-valued problem, and the two methods use different objective formulations (linear costs in equations 51 to 53 vs. quadratic penalties in Eq. 59). The paper's central conclusion rests on this comparison, so the authors should explicitly discuss how these structural and formulation asymmetries may influence the outcome, and whether the results reflect a fundamental property of open-loop vs. closed-loop control or partly an artifact of the comparison design, as the computational complexity of the two methods is very different."</w:t>
      </w:r>
    </w:p>
    <w:p w14:paraId="64C7E22D" w14:textId="77777777" w:rsidR="00DC1A4D" w:rsidRPr="00DC1A4D" w:rsidRDefault="00DC1A4D" w:rsidP="00DC1A4D">
      <w:pPr>
        <w:spacing w:after="0"/>
        <w:rPr>
          <w:rFonts w:ascii="Times New Roman" w:hAnsi="Times New Roman" w:cs="Times New Roman"/>
          <w:color w:val="000000"/>
          <w:kern w:val="0"/>
        </w:rPr>
      </w:pPr>
    </w:p>
    <w:p w14:paraId="2D0510A9" w14:textId="64ECBB5D" w:rsidR="00DC1A4D" w:rsidRDefault="00F5160F" w:rsidP="00F5160F">
      <w:pPr>
        <w:spacing w:after="0"/>
        <w:rPr>
          <w:rFonts w:ascii="Times New Roman" w:hAnsi="Times New Roman" w:cs="Times New Roman"/>
          <w:color w:val="000000"/>
          <w:kern w:val="0"/>
        </w:rPr>
      </w:pPr>
      <w:r w:rsidRPr="00F5160F">
        <w:rPr>
          <w:rFonts w:ascii="Times New Roman" w:hAnsi="Times New Roman" w:cs="Times New Roman"/>
          <w:color w:val="000000"/>
          <w:kern w:val="0"/>
        </w:rPr>
        <w:t xml:space="preserve">We added a new subsection to the Discussion (Section </w:t>
      </w:r>
      <w:r w:rsidR="00225737">
        <w:rPr>
          <w:rFonts w:ascii="Times New Roman" w:hAnsi="Times New Roman" w:cs="Times New Roman"/>
          <w:color w:val="000000"/>
          <w:kern w:val="0"/>
        </w:rPr>
        <w:t>7</w:t>
      </w:r>
      <w:r w:rsidRPr="00F5160F">
        <w:rPr>
          <w:rFonts w:ascii="Times New Roman" w:hAnsi="Times New Roman" w:cs="Times New Roman"/>
          <w:color w:val="000000"/>
          <w:kern w:val="0"/>
        </w:rPr>
        <w:t xml:space="preserve">.2, "Asymmetries in the optimization strategies") that explicitly addresses the three sources of asymmetry the reviewer identifies: (1) the decision-space structure (4-parameter GA vs. daily continuous MPC), (2) the objective formulation (linear revenue vs. quadratic penalties), and (3) computational effort. </w:t>
      </w:r>
      <w:r>
        <w:rPr>
          <w:rFonts w:ascii="Times New Roman" w:hAnsi="Times New Roman" w:cs="Times New Roman"/>
          <w:color w:val="000000"/>
          <w:kern w:val="0"/>
        </w:rPr>
        <w:t>The c</w:t>
      </w:r>
      <w:r w:rsidRPr="00F5160F">
        <w:rPr>
          <w:rFonts w:ascii="Times New Roman" w:hAnsi="Times New Roman" w:cs="Times New Roman"/>
          <w:color w:val="000000"/>
          <w:kern w:val="0"/>
        </w:rPr>
        <w:t xml:space="preserve">onclusion was expanded to acknowledge these </w:t>
      </w:r>
      <w:proofErr w:type="gramStart"/>
      <w:r w:rsidRPr="00F5160F">
        <w:rPr>
          <w:rFonts w:ascii="Times New Roman" w:hAnsi="Times New Roman" w:cs="Times New Roman"/>
          <w:color w:val="000000"/>
          <w:kern w:val="0"/>
        </w:rPr>
        <w:t>asymmetries</w:t>
      </w:r>
      <w:proofErr w:type="gram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and</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w</w:t>
      </w:r>
      <w:r w:rsidRPr="00F5160F">
        <w:rPr>
          <w:rFonts w:ascii="Times New Roman" w:hAnsi="Times New Roman" w:cs="Times New Roman"/>
          <w:color w:val="000000"/>
          <w:kern w:val="0"/>
        </w:rPr>
        <w:t xml:space="preserve">e </w:t>
      </w:r>
      <w:proofErr w:type="spellEnd"/>
      <w:r w:rsidRPr="00F5160F">
        <w:rPr>
          <w:rFonts w:ascii="Times New Roman" w:hAnsi="Times New Roman" w:cs="Times New Roman"/>
          <w:color w:val="000000"/>
          <w:kern w:val="0"/>
        </w:rPr>
        <w:t>also added a new figure (Figure 11) comparing mean resource usage across strategies, highlighting MPC's sustainability advantage.</w:t>
      </w:r>
    </w:p>
    <w:p w14:paraId="67C927F1" w14:textId="77777777" w:rsidR="00F5160F" w:rsidRPr="00DC1A4D" w:rsidRDefault="00F5160F" w:rsidP="00DC1A4D">
      <w:pPr>
        <w:spacing w:after="0"/>
        <w:rPr>
          <w:rFonts w:ascii="Times New Roman" w:hAnsi="Times New Roman" w:cs="Times New Roman"/>
          <w:color w:val="000000"/>
          <w:kern w:val="0"/>
        </w:rPr>
      </w:pPr>
    </w:p>
    <w:p w14:paraId="365CE482" w14:textId="59A7834C" w:rsidR="00DC1A4D" w:rsidRPr="00DC1A4D" w:rsidRDefault="00DC1A4D" w:rsidP="00DC1A4D">
      <w:pPr>
        <w:spacing w:after="0"/>
        <w:rPr>
          <w:rFonts w:ascii="Times New Roman" w:hAnsi="Times New Roman" w:cs="Times New Roman"/>
          <w:color w:val="215E99" w:themeColor="text2" w:themeTint="BF"/>
          <w:kern w:val="0"/>
        </w:rPr>
      </w:pPr>
      <w:r w:rsidRPr="00DC1A4D">
        <w:rPr>
          <w:rFonts w:ascii="Times New Roman" w:hAnsi="Times New Roman" w:cs="Times New Roman"/>
          <w:b/>
          <w:bCs/>
          <w:color w:val="215E99" w:themeColor="text2" w:themeTint="BF"/>
          <w:kern w:val="0"/>
        </w:rPr>
        <w:t>2.</w:t>
      </w:r>
      <w:r w:rsidRPr="00DC1A4D">
        <w:rPr>
          <w:rFonts w:ascii="Times New Roman" w:hAnsi="Times New Roman" w:cs="Times New Roman"/>
          <w:color w:val="215E99" w:themeColor="text2" w:themeTint="BF"/>
          <w:kern w:val="0"/>
        </w:rPr>
        <w:t xml:space="preserve"> "MPC uses dramatically less water and fertilizer yet achieves lower revenue. It would strengthen the paper to disentangle whether this stems from the short planning horizon or because of resource conservation. For instance, by running a resource-constrained GA with total seasonal inputs capped at MPC's usage levels."</w:t>
      </w:r>
    </w:p>
    <w:p w14:paraId="24B72326" w14:textId="77777777" w:rsidR="00DC1A4D" w:rsidRPr="00DC1A4D" w:rsidRDefault="00DC1A4D" w:rsidP="00DC1A4D">
      <w:pPr>
        <w:spacing w:after="0"/>
        <w:rPr>
          <w:rFonts w:ascii="Times New Roman" w:hAnsi="Times New Roman" w:cs="Times New Roman"/>
          <w:color w:val="000000"/>
          <w:kern w:val="0"/>
        </w:rPr>
      </w:pPr>
    </w:p>
    <w:p w14:paraId="20CC2D11" w14:textId="0CCEADAC" w:rsidR="00DC1A4D" w:rsidRPr="00DC1A4D" w:rsidRDefault="00DC1A4D" w:rsidP="00DC1A4D">
      <w:pPr>
        <w:spacing w:after="0"/>
        <w:rPr>
          <w:rFonts w:ascii="Times New Roman" w:hAnsi="Times New Roman" w:cs="Times New Roman"/>
          <w:color w:val="000000"/>
          <w:kern w:val="0"/>
        </w:rPr>
      </w:pPr>
      <w:r w:rsidRPr="00DC1A4D">
        <w:rPr>
          <w:rFonts w:ascii="Times New Roman" w:hAnsi="Times New Roman" w:cs="Times New Roman"/>
          <w:color w:val="000000"/>
          <w:kern w:val="0"/>
        </w:rPr>
        <w:t xml:space="preserve">We implemented the reviewer's suggested ablation study. We added optional resource constraint parameters to the GA implementation and ran a resource-constrained GA with total seasonal inputs capped at MPC's maximum usage levels (2.0 inches water, 310 </w:t>
      </w:r>
      <w:proofErr w:type="spellStart"/>
      <w:r w:rsidRPr="00DC1A4D">
        <w:rPr>
          <w:rFonts w:ascii="Times New Roman" w:hAnsi="Times New Roman" w:cs="Times New Roman"/>
          <w:color w:val="000000"/>
          <w:kern w:val="0"/>
        </w:rPr>
        <w:t>lbs</w:t>
      </w:r>
      <w:proofErr w:type="spellEnd"/>
      <w:r w:rsidRPr="00DC1A4D">
        <w:rPr>
          <w:rFonts w:ascii="Times New Roman" w:hAnsi="Times New Roman" w:cs="Times New Roman"/>
          <w:color w:val="000000"/>
          <w:kern w:val="0"/>
        </w:rPr>
        <w:t xml:space="preserve"> fertilizer). The constrained GA achieved a mean revenue of $759/acre, compared with MPC's $750/acre, winning 11 of 21 scenarios. </w:t>
      </w:r>
      <w:r w:rsidR="00E933E1">
        <w:rPr>
          <w:rFonts w:ascii="Times New Roman" w:hAnsi="Times New Roman" w:cs="Times New Roman"/>
          <w:color w:val="000000"/>
          <w:kern w:val="0"/>
        </w:rPr>
        <w:t>The discussion</w:t>
      </w:r>
      <w:r w:rsidR="00225737">
        <w:rPr>
          <w:rFonts w:ascii="Times New Roman" w:hAnsi="Times New Roman" w:cs="Times New Roman"/>
          <w:color w:val="000000"/>
          <w:kern w:val="0"/>
        </w:rPr>
        <w:t xml:space="preserve"> (Section 7.2)</w:t>
      </w:r>
      <w:r w:rsidR="00E933E1">
        <w:rPr>
          <w:rFonts w:ascii="Times New Roman" w:hAnsi="Times New Roman" w:cs="Times New Roman"/>
          <w:color w:val="000000"/>
          <w:kern w:val="0"/>
        </w:rPr>
        <w:t xml:space="preserve"> and conclusion comment on these results and their significance.</w:t>
      </w:r>
    </w:p>
    <w:p w14:paraId="0260366E" w14:textId="77777777" w:rsidR="00DC1A4D" w:rsidRPr="00DC1A4D" w:rsidRDefault="00DC1A4D" w:rsidP="00DC1A4D">
      <w:pPr>
        <w:spacing w:after="0"/>
        <w:rPr>
          <w:rFonts w:ascii="Times New Roman" w:hAnsi="Times New Roman" w:cs="Times New Roman"/>
          <w:color w:val="000000"/>
          <w:kern w:val="0"/>
        </w:rPr>
      </w:pPr>
    </w:p>
    <w:p w14:paraId="4014D022" w14:textId="4011F096" w:rsidR="00DC1A4D" w:rsidRPr="00DC1A4D" w:rsidRDefault="00DC1A4D" w:rsidP="00DC1A4D">
      <w:pPr>
        <w:spacing w:after="0"/>
        <w:rPr>
          <w:rFonts w:ascii="Times New Roman" w:hAnsi="Times New Roman" w:cs="Times New Roman"/>
          <w:b/>
          <w:bCs/>
          <w:color w:val="000000"/>
          <w:kern w:val="0"/>
          <w:sz w:val="28"/>
          <w:szCs w:val="28"/>
        </w:rPr>
      </w:pPr>
      <w:r w:rsidRPr="00DC1A4D">
        <w:rPr>
          <w:rFonts w:ascii="Times New Roman" w:hAnsi="Times New Roman" w:cs="Times New Roman"/>
          <w:b/>
          <w:bCs/>
          <w:color w:val="000000"/>
          <w:kern w:val="0"/>
          <w:sz w:val="28"/>
          <w:szCs w:val="28"/>
        </w:rPr>
        <w:t>Minor Comments</w:t>
      </w:r>
    </w:p>
    <w:p w14:paraId="79818EB4" w14:textId="77777777" w:rsidR="00DC1A4D" w:rsidRPr="00DC1A4D" w:rsidRDefault="00DC1A4D" w:rsidP="00DC1A4D">
      <w:pPr>
        <w:spacing w:after="0"/>
        <w:rPr>
          <w:rFonts w:ascii="Times New Roman" w:hAnsi="Times New Roman" w:cs="Times New Roman"/>
          <w:color w:val="000000"/>
          <w:kern w:val="0"/>
        </w:rPr>
      </w:pPr>
    </w:p>
    <w:p w14:paraId="7A4C84E0" w14:textId="1A6F25E1" w:rsidR="00DC1A4D" w:rsidRPr="00DC1A4D" w:rsidRDefault="00DC1A4D" w:rsidP="00DC1A4D">
      <w:pPr>
        <w:spacing w:after="0"/>
        <w:rPr>
          <w:rFonts w:ascii="Times New Roman" w:hAnsi="Times New Roman" w:cs="Times New Roman"/>
          <w:color w:val="215E99" w:themeColor="text2" w:themeTint="BF"/>
          <w:kern w:val="0"/>
        </w:rPr>
      </w:pPr>
      <w:r w:rsidRPr="00DC1A4D">
        <w:rPr>
          <w:rFonts w:ascii="Times New Roman" w:hAnsi="Times New Roman" w:cs="Times New Roman"/>
          <w:b/>
          <w:bCs/>
          <w:color w:val="215E99" w:themeColor="text2" w:themeTint="BF"/>
          <w:kern w:val="0"/>
        </w:rPr>
        <w:t>3.</w:t>
      </w:r>
      <w:r w:rsidRPr="00DC1A4D">
        <w:rPr>
          <w:rFonts w:ascii="Times New Roman" w:hAnsi="Times New Roman" w:cs="Times New Roman"/>
          <w:color w:val="215E99" w:themeColor="text2" w:themeTint="BF"/>
          <w:kern w:val="0"/>
        </w:rPr>
        <w:t xml:space="preserve"> "The MPC assumes perfect weather forecasts, which should favor it. Do a parameter sweep experiment with noisy forecast inputs and see whether the results hold."</w:t>
      </w:r>
    </w:p>
    <w:p w14:paraId="64927E62" w14:textId="77777777" w:rsidR="00DC1A4D" w:rsidRPr="00DC1A4D" w:rsidRDefault="00DC1A4D" w:rsidP="00DC1A4D">
      <w:pPr>
        <w:spacing w:after="0"/>
        <w:rPr>
          <w:rFonts w:ascii="Times New Roman" w:hAnsi="Times New Roman" w:cs="Times New Roman"/>
          <w:color w:val="000000"/>
          <w:kern w:val="0"/>
        </w:rPr>
      </w:pPr>
    </w:p>
    <w:p w14:paraId="63075CED" w14:textId="7A0E100E" w:rsidR="00DC1A4D" w:rsidRPr="00DC1A4D" w:rsidRDefault="00E933E1" w:rsidP="00DC1A4D">
      <w:pPr>
        <w:spacing w:after="0"/>
        <w:rPr>
          <w:rFonts w:ascii="Times New Roman" w:hAnsi="Times New Roman" w:cs="Times New Roman"/>
          <w:color w:val="000000"/>
          <w:kern w:val="0"/>
        </w:rPr>
      </w:pPr>
      <w:r>
        <w:rPr>
          <w:rFonts w:ascii="Times New Roman" w:hAnsi="Times New Roman" w:cs="Times New Roman"/>
          <w:color w:val="000000"/>
          <w:kern w:val="0"/>
        </w:rPr>
        <w:t xml:space="preserve">Since </w:t>
      </w:r>
      <w:r w:rsidR="00DC1A4D" w:rsidRPr="00DC1A4D">
        <w:rPr>
          <w:rFonts w:ascii="Times New Roman" w:hAnsi="Times New Roman" w:cs="Times New Roman"/>
          <w:color w:val="000000"/>
          <w:kern w:val="0"/>
        </w:rPr>
        <w:t xml:space="preserve">MPC is the only method that consumes forecast information at runtime, degrading forecast quality can only reduce MPC's performance while leaving the GA unaffected. The GA's robustness to weather uncertainty is already tested by evaluating strategies optimized for one </w:t>
      </w:r>
      <w:r w:rsidR="00DC1A4D" w:rsidRPr="00DC1A4D">
        <w:rPr>
          <w:rFonts w:ascii="Times New Roman" w:hAnsi="Times New Roman" w:cs="Times New Roman"/>
          <w:color w:val="000000"/>
          <w:kern w:val="0"/>
        </w:rPr>
        <w:lastRenderedPageBreak/>
        <w:t xml:space="preserve">condition across all 21 scenarios. </w:t>
      </w:r>
      <w:r>
        <w:rPr>
          <w:rFonts w:ascii="Times New Roman" w:hAnsi="Times New Roman" w:cs="Times New Roman"/>
          <w:color w:val="000000"/>
          <w:kern w:val="0"/>
        </w:rPr>
        <w:t>Thus, we are not sure a parameter sweep experiment is necessary.</w:t>
      </w:r>
    </w:p>
    <w:p w14:paraId="2C84DC72" w14:textId="77777777" w:rsidR="00DC1A4D" w:rsidRPr="00DC1A4D" w:rsidRDefault="00DC1A4D" w:rsidP="00DC1A4D">
      <w:pPr>
        <w:spacing w:after="0"/>
        <w:rPr>
          <w:rFonts w:ascii="Times New Roman" w:hAnsi="Times New Roman" w:cs="Times New Roman"/>
          <w:color w:val="000000"/>
          <w:kern w:val="0"/>
        </w:rPr>
      </w:pPr>
    </w:p>
    <w:p w14:paraId="0009CDEC" w14:textId="68685381" w:rsidR="00DC1A4D" w:rsidRPr="00DC1A4D" w:rsidRDefault="00DC1A4D" w:rsidP="00DC1A4D">
      <w:pPr>
        <w:spacing w:after="0"/>
        <w:rPr>
          <w:rFonts w:ascii="Times New Roman" w:hAnsi="Times New Roman" w:cs="Times New Roman"/>
          <w:color w:val="215E99" w:themeColor="text2" w:themeTint="BF"/>
          <w:kern w:val="0"/>
        </w:rPr>
      </w:pPr>
      <w:r w:rsidRPr="00DC1A4D">
        <w:rPr>
          <w:rFonts w:ascii="Times New Roman" w:hAnsi="Times New Roman" w:cs="Times New Roman"/>
          <w:b/>
          <w:bCs/>
          <w:color w:val="215E99" w:themeColor="text2" w:themeTint="BF"/>
          <w:kern w:val="0"/>
        </w:rPr>
        <w:t>4.</w:t>
      </w:r>
      <w:r w:rsidRPr="00DC1A4D">
        <w:rPr>
          <w:rFonts w:ascii="Times New Roman" w:hAnsi="Times New Roman" w:cs="Times New Roman"/>
          <w:color w:val="215E99" w:themeColor="text2" w:themeTint="BF"/>
          <w:kern w:val="0"/>
        </w:rPr>
        <w:t xml:space="preserve"> "The absence of soil moisture dynamics likely favors the GA's infrequent large-volume irrigation strategy; please discuss this potential bias more explicitly."</w:t>
      </w:r>
    </w:p>
    <w:p w14:paraId="132D754F" w14:textId="77777777" w:rsidR="00DC1A4D" w:rsidRPr="00DC1A4D" w:rsidRDefault="00DC1A4D" w:rsidP="00DC1A4D">
      <w:pPr>
        <w:spacing w:after="0"/>
        <w:rPr>
          <w:rFonts w:ascii="Times New Roman" w:hAnsi="Times New Roman" w:cs="Times New Roman"/>
          <w:color w:val="000000"/>
          <w:kern w:val="0"/>
        </w:rPr>
      </w:pPr>
    </w:p>
    <w:p w14:paraId="51FA0F5F" w14:textId="3EA09916" w:rsidR="00DC1A4D" w:rsidRPr="00DC1A4D" w:rsidRDefault="00DC1A4D" w:rsidP="00DC1A4D">
      <w:pPr>
        <w:spacing w:after="0"/>
        <w:rPr>
          <w:rFonts w:ascii="Times New Roman" w:hAnsi="Times New Roman" w:cs="Times New Roman"/>
          <w:color w:val="000000"/>
          <w:kern w:val="0"/>
        </w:rPr>
      </w:pPr>
      <w:r w:rsidRPr="00DC1A4D">
        <w:rPr>
          <w:rFonts w:ascii="Times New Roman" w:hAnsi="Times New Roman" w:cs="Times New Roman"/>
          <w:color w:val="000000"/>
          <w:kern w:val="0"/>
        </w:rPr>
        <w:t xml:space="preserve">We expanded the "Soil moisture dynamics" limitation (Section </w:t>
      </w:r>
      <w:r w:rsidR="00225737">
        <w:rPr>
          <w:rFonts w:ascii="Times New Roman" w:hAnsi="Times New Roman" w:cs="Times New Roman"/>
          <w:color w:val="000000"/>
          <w:kern w:val="0"/>
        </w:rPr>
        <w:t>7.3</w:t>
      </w:r>
      <w:r w:rsidRPr="00DC1A4D">
        <w:rPr>
          <w:rFonts w:ascii="Times New Roman" w:hAnsi="Times New Roman" w:cs="Times New Roman"/>
          <w:color w:val="000000"/>
          <w:kern w:val="0"/>
        </w:rPr>
        <w:t xml:space="preserve">) to explicitly note that without soil moisture modeling, all applied water is treated as directly available regardless of application volume. </w:t>
      </w:r>
    </w:p>
    <w:p w14:paraId="012C9570" w14:textId="77777777" w:rsidR="00DC1A4D" w:rsidRPr="00DC1A4D" w:rsidRDefault="00DC1A4D" w:rsidP="00DC1A4D">
      <w:pPr>
        <w:spacing w:after="0"/>
        <w:rPr>
          <w:rFonts w:ascii="Times New Roman" w:hAnsi="Times New Roman" w:cs="Times New Roman"/>
          <w:color w:val="000000"/>
          <w:kern w:val="0"/>
        </w:rPr>
      </w:pPr>
    </w:p>
    <w:p w14:paraId="266D967F" w14:textId="5D43C9CF" w:rsidR="00DC1A4D" w:rsidRPr="00DC1A4D" w:rsidRDefault="00DC1A4D" w:rsidP="00DC1A4D">
      <w:pPr>
        <w:spacing w:after="0"/>
        <w:rPr>
          <w:rFonts w:ascii="Times New Roman" w:hAnsi="Times New Roman" w:cs="Times New Roman"/>
          <w:color w:val="215E99" w:themeColor="text2" w:themeTint="BF"/>
          <w:kern w:val="0"/>
        </w:rPr>
      </w:pPr>
      <w:r w:rsidRPr="00DC1A4D">
        <w:rPr>
          <w:rFonts w:ascii="Times New Roman" w:hAnsi="Times New Roman" w:cs="Times New Roman"/>
          <w:b/>
          <w:bCs/>
          <w:color w:val="215E99" w:themeColor="text2" w:themeTint="BF"/>
          <w:kern w:val="0"/>
        </w:rPr>
        <w:t>5.</w:t>
      </w:r>
      <w:r w:rsidRPr="00DC1A4D">
        <w:rPr>
          <w:rFonts w:ascii="Times New Roman" w:hAnsi="Times New Roman" w:cs="Times New Roman"/>
          <w:color w:val="215E99" w:themeColor="text2" w:themeTint="BF"/>
          <w:kern w:val="0"/>
        </w:rPr>
        <w:t xml:space="preserve"> "The additive extremity index assumes non-interacting stressors; note this limitation when interpreting compound-event scenarios."</w:t>
      </w:r>
    </w:p>
    <w:p w14:paraId="55335171" w14:textId="77777777" w:rsidR="00DC1A4D" w:rsidRPr="00DC1A4D" w:rsidRDefault="00DC1A4D" w:rsidP="00DC1A4D">
      <w:pPr>
        <w:spacing w:after="0"/>
        <w:rPr>
          <w:rFonts w:ascii="Times New Roman" w:hAnsi="Times New Roman" w:cs="Times New Roman"/>
          <w:color w:val="000000"/>
          <w:kern w:val="0"/>
        </w:rPr>
      </w:pPr>
    </w:p>
    <w:p w14:paraId="2CC83016" w14:textId="1C11A8FB" w:rsidR="00DC1A4D" w:rsidRPr="00DC1A4D" w:rsidRDefault="00DC1A4D" w:rsidP="00DC1A4D">
      <w:pPr>
        <w:spacing w:after="0"/>
        <w:rPr>
          <w:rFonts w:ascii="Times New Roman" w:hAnsi="Times New Roman" w:cs="Times New Roman"/>
          <w:color w:val="000000"/>
          <w:kern w:val="0"/>
        </w:rPr>
      </w:pPr>
      <w:r w:rsidRPr="00DC1A4D">
        <w:rPr>
          <w:rFonts w:ascii="Times New Roman" w:hAnsi="Times New Roman" w:cs="Times New Roman"/>
          <w:color w:val="000000"/>
          <w:kern w:val="0"/>
        </w:rPr>
        <w:t xml:space="preserve">We added a clarifying paragraph immediately after the aggregate extremity equation (Section </w:t>
      </w:r>
      <w:r w:rsidR="00225737">
        <w:rPr>
          <w:rFonts w:ascii="Times New Roman" w:hAnsi="Times New Roman" w:cs="Times New Roman"/>
          <w:color w:val="000000"/>
          <w:kern w:val="0"/>
        </w:rPr>
        <w:t>3.2</w:t>
      </w:r>
      <w:r w:rsidRPr="00DC1A4D">
        <w:rPr>
          <w:rFonts w:ascii="Times New Roman" w:hAnsi="Times New Roman" w:cs="Times New Roman"/>
          <w:color w:val="000000"/>
          <w:kern w:val="0"/>
        </w:rPr>
        <w:t xml:space="preserve">) noting that the additive form assumes independent stressor contributions. </w:t>
      </w:r>
    </w:p>
    <w:p w14:paraId="16E97790" w14:textId="77777777" w:rsidR="00DC1A4D" w:rsidRPr="00DC1A4D" w:rsidRDefault="00DC1A4D" w:rsidP="00DC1A4D">
      <w:pPr>
        <w:spacing w:after="0"/>
        <w:rPr>
          <w:rFonts w:ascii="Times New Roman" w:hAnsi="Times New Roman" w:cs="Times New Roman"/>
          <w:color w:val="000000"/>
          <w:kern w:val="0"/>
        </w:rPr>
      </w:pPr>
    </w:p>
    <w:p w14:paraId="159C924D" w14:textId="21299E67" w:rsidR="00DC1A4D" w:rsidRPr="00DC1A4D" w:rsidRDefault="00DC1A4D" w:rsidP="00DC1A4D">
      <w:pPr>
        <w:spacing w:after="0"/>
        <w:rPr>
          <w:rFonts w:ascii="Times New Roman" w:hAnsi="Times New Roman" w:cs="Times New Roman"/>
          <w:color w:val="215E99" w:themeColor="text2" w:themeTint="BF"/>
          <w:kern w:val="0"/>
        </w:rPr>
      </w:pPr>
      <w:r w:rsidRPr="00DC1A4D">
        <w:rPr>
          <w:rFonts w:ascii="Times New Roman" w:hAnsi="Times New Roman" w:cs="Times New Roman"/>
          <w:b/>
          <w:bCs/>
          <w:color w:val="215E99" w:themeColor="text2" w:themeTint="BF"/>
          <w:kern w:val="0"/>
        </w:rPr>
        <w:t>6.</w:t>
      </w:r>
      <w:r w:rsidRPr="00DC1A4D">
        <w:rPr>
          <w:rFonts w:ascii="Times New Roman" w:hAnsi="Times New Roman" w:cs="Times New Roman"/>
          <w:color w:val="215E99" w:themeColor="text2" w:themeTint="BF"/>
          <w:kern w:val="0"/>
        </w:rPr>
        <w:t xml:space="preserve"> "The economic model omits per-event operational costs, which would differentially affect strategies with varying application frequencies."</w:t>
      </w:r>
    </w:p>
    <w:p w14:paraId="32A55649" w14:textId="77777777" w:rsidR="00DC1A4D" w:rsidRPr="00DC1A4D" w:rsidRDefault="00DC1A4D" w:rsidP="00DC1A4D">
      <w:pPr>
        <w:spacing w:after="0"/>
        <w:rPr>
          <w:rFonts w:ascii="Times New Roman" w:hAnsi="Times New Roman" w:cs="Times New Roman"/>
          <w:color w:val="000000"/>
          <w:kern w:val="0"/>
        </w:rPr>
      </w:pPr>
    </w:p>
    <w:p w14:paraId="0BEBFED9" w14:textId="44BA6AD0" w:rsidR="00DC1A4D" w:rsidRPr="00DC1A4D" w:rsidRDefault="00DC1A4D" w:rsidP="00DC1A4D">
      <w:pPr>
        <w:spacing w:after="0"/>
        <w:rPr>
          <w:rFonts w:ascii="Times New Roman" w:hAnsi="Times New Roman" w:cs="Times New Roman"/>
          <w:color w:val="000000"/>
          <w:kern w:val="0"/>
        </w:rPr>
      </w:pPr>
      <w:r w:rsidRPr="00DC1A4D">
        <w:rPr>
          <w:rFonts w:ascii="Times New Roman" w:hAnsi="Times New Roman" w:cs="Times New Roman"/>
          <w:color w:val="000000"/>
          <w:kern w:val="0"/>
        </w:rPr>
        <w:t xml:space="preserve">We added a "Per-event operational costs" limitation (Section </w:t>
      </w:r>
      <w:r w:rsidR="00225737">
        <w:rPr>
          <w:rFonts w:ascii="Times New Roman" w:hAnsi="Times New Roman" w:cs="Times New Roman"/>
          <w:color w:val="000000"/>
          <w:kern w:val="0"/>
        </w:rPr>
        <w:t>7.3</w:t>
      </w:r>
      <w:r w:rsidRPr="00DC1A4D">
        <w:rPr>
          <w:rFonts w:ascii="Times New Roman" w:hAnsi="Times New Roman" w:cs="Times New Roman"/>
          <w:color w:val="000000"/>
          <w:kern w:val="0"/>
        </w:rPr>
        <w:t xml:space="preserve">) noting that the objective function penalizes total resource quantity but not the number of application events. </w:t>
      </w:r>
    </w:p>
    <w:p w14:paraId="779C7384" w14:textId="77777777" w:rsidR="00DC1A4D" w:rsidRPr="00DC1A4D" w:rsidRDefault="00DC1A4D" w:rsidP="00DC1A4D">
      <w:pPr>
        <w:spacing w:after="0"/>
        <w:rPr>
          <w:rFonts w:ascii="Times New Roman" w:hAnsi="Times New Roman" w:cs="Times New Roman"/>
          <w:color w:val="000000"/>
          <w:kern w:val="0"/>
        </w:rPr>
      </w:pPr>
    </w:p>
    <w:p w14:paraId="480880FE" w14:textId="07464898" w:rsidR="00DC1A4D" w:rsidRPr="00DC1A4D" w:rsidRDefault="00DC1A4D" w:rsidP="00DC1A4D">
      <w:pPr>
        <w:spacing w:after="0"/>
        <w:rPr>
          <w:rFonts w:ascii="Times New Roman" w:hAnsi="Times New Roman" w:cs="Times New Roman"/>
          <w:color w:val="215E99" w:themeColor="text2" w:themeTint="BF"/>
          <w:kern w:val="0"/>
        </w:rPr>
      </w:pPr>
      <w:r w:rsidRPr="00DC1A4D">
        <w:rPr>
          <w:rFonts w:ascii="Times New Roman" w:hAnsi="Times New Roman" w:cs="Times New Roman"/>
          <w:b/>
          <w:bCs/>
          <w:color w:val="215E99" w:themeColor="text2" w:themeTint="BF"/>
          <w:kern w:val="0"/>
        </w:rPr>
        <w:t>7.</w:t>
      </w:r>
      <w:r w:rsidRPr="00DC1A4D">
        <w:rPr>
          <w:rFonts w:ascii="Times New Roman" w:hAnsi="Times New Roman" w:cs="Times New Roman"/>
          <w:color w:val="215E99" w:themeColor="text2" w:themeTint="BF"/>
          <w:kern w:val="0"/>
        </w:rPr>
        <w:t xml:space="preserve"> "The abstract reports both '35% higher revenue' and a '56% improvement', please clarify what each of those is."</w:t>
      </w:r>
    </w:p>
    <w:p w14:paraId="09497BA6" w14:textId="77777777" w:rsidR="00DC1A4D" w:rsidRPr="00DC1A4D" w:rsidRDefault="00DC1A4D" w:rsidP="00DC1A4D">
      <w:pPr>
        <w:spacing w:after="0"/>
        <w:rPr>
          <w:rFonts w:ascii="Times New Roman" w:hAnsi="Times New Roman" w:cs="Times New Roman"/>
          <w:color w:val="000000"/>
          <w:kern w:val="0"/>
        </w:rPr>
      </w:pPr>
    </w:p>
    <w:p w14:paraId="63194DF1" w14:textId="75D3F188" w:rsidR="00DC1A4D" w:rsidRPr="00DC1A4D" w:rsidRDefault="00DC1A4D" w:rsidP="00DC1A4D">
      <w:pPr>
        <w:spacing w:after="0"/>
        <w:rPr>
          <w:rFonts w:ascii="Times New Roman" w:hAnsi="Times New Roman" w:cs="Times New Roman"/>
          <w:color w:val="000000"/>
          <w:kern w:val="0"/>
        </w:rPr>
      </w:pPr>
      <w:r w:rsidRPr="00DC1A4D">
        <w:rPr>
          <w:rFonts w:ascii="Times New Roman" w:hAnsi="Times New Roman" w:cs="Times New Roman"/>
          <w:color w:val="000000"/>
          <w:kern w:val="0"/>
        </w:rPr>
        <w:t xml:space="preserve">We clarified the distinction throughout the manuscript. In the abstract, "35%" now explicitly reads "35% higher mean revenue ... across all 21 scenarios." In the results section, the "56% improvement" is now clarified as applying to the </w:t>
      </w:r>
      <w:r w:rsidR="00225737">
        <w:rPr>
          <w:rFonts w:ascii="Times New Roman" w:hAnsi="Times New Roman" w:cs="Times New Roman"/>
          <w:color w:val="000000"/>
          <w:kern w:val="0"/>
        </w:rPr>
        <w:t>best GA</w:t>
      </w:r>
      <w:r w:rsidRPr="00DC1A4D">
        <w:rPr>
          <w:rFonts w:ascii="Times New Roman" w:hAnsi="Times New Roman" w:cs="Times New Roman"/>
          <w:color w:val="000000"/>
          <w:kern w:val="0"/>
        </w:rPr>
        <w:t xml:space="preserve"> scenario specifically ("a 56% improvement on that scenario"). </w:t>
      </w:r>
    </w:p>
    <w:p w14:paraId="5CD0110F" w14:textId="77777777" w:rsidR="00DC1A4D" w:rsidRPr="00DC1A4D" w:rsidRDefault="00DC1A4D" w:rsidP="00DC1A4D">
      <w:pPr>
        <w:spacing w:after="0"/>
        <w:rPr>
          <w:rFonts w:ascii="Times New Roman" w:hAnsi="Times New Roman" w:cs="Times New Roman"/>
          <w:color w:val="000000"/>
          <w:kern w:val="0"/>
        </w:rPr>
      </w:pPr>
    </w:p>
    <w:p w14:paraId="352B459D" w14:textId="762A994B" w:rsidR="00DC1A4D" w:rsidRPr="00DC1A4D" w:rsidRDefault="00DC1A4D" w:rsidP="00DC1A4D">
      <w:pPr>
        <w:spacing w:after="0"/>
        <w:rPr>
          <w:rFonts w:ascii="Times New Roman" w:hAnsi="Times New Roman" w:cs="Times New Roman"/>
          <w:color w:val="215E99" w:themeColor="text2" w:themeTint="BF"/>
          <w:kern w:val="0"/>
        </w:rPr>
      </w:pPr>
      <w:r w:rsidRPr="00DC1A4D">
        <w:rPr>
          <w:rFonts w:ascii="Times New Roman" w:hAnsi="Times New Roman" w:cs="Times New Roman"/>
          <w:color w:val="215E99" w:themeColor="text2" w:themeTint="BF"/>
          <w:kern w:val="0"/>
        </w:rPr>
        <w:t>8. "Reference [18] has a missing publisher location ('???')."</w:t>
      </w:r>
    </w:p>
    <w:p w14:paraId="581A77B8" w14:textId="77777777" w:rsidR="00DC1A4D" w:rsidRPr="00DC1A4D" w:rsidRDefault="00DC1A4D" w:rsidP="00DC1A4D">
      <w:pPr>
        <w:spacing w:after="0"/>
        <w:rPr>
          <w:rFonts w:ascii="Times New Roman" w:hAnsi="Times New Roman" w:cs="Times New Roman"/>
          <w:color w:val="000000"/>
          <w:kern w:val="0"/>
        </w:rPr>
      </w:pPr>
    </w:p>
    <w:p w14:paraId="0A6FA5F7" w14:textId="7C0F234F" w:rsidR="00DC1A4D" w:rsidRPr="00DC1A4D" w:rsidRDefault="00225737" w:rsidP="00DC1A4D">
      <w:pPr>
        <w:spacing w:after="0"/>
        <w:rPr>
          <w:rFonts w:ascii="Times New Roman" w:hAnsi="Times New Roman" w:cs="Times New Roman"/>
          <w:color w:val="000000"/>
          <w:kern w:val="0"/>
        </w:rPr>
      </w:pPr>
      <w:r>
        <w:rPr>
          <w:rFonts w:ascii="Times New Roman" w:hAnsi="Times New Roman" w:cs="Times New Roman"/>
          <w:color w:val="000000"/>
          <w:kern w:val="0"/>
        </w:rPr>
        <w:t>Should be fixed now.</w:t>
      </w:r>
    </w:p>
    <w:p w14:paraId="783E9938" w14:textId="77777777" w:rsidR="00DC1A4D" w:rsidRPr="00DC1A4D" w:rsidRDefault="00DC1A4D" w:rsidP="00DC1A4D">
      <w:pPr>
        <w:spacing w:after="0"/>
        <w:rPr>
          <w:rFonts w:ascii="Times New Roman" w:hAnsi="Times New Roman" w:cs="Times New Roman"/>
          <w:color w:val="000000"/>
          <w:kern w:val="0"/>
        </w:rPr>
      </w:pPr>
    </w:p>
    <w:p w14:paraId="1488E4CB" w14:textId="7A41B083" w:rsidR="00DC1A4D" w:rsidRPr="00DC1A4D" w:rsidRDefault="00DC1A4D" w:rsidP="00DC1A4D">
      <w:pPr>
        <w:spacing w:after="0"/>
        <w:rPr>
          <w:rFonts w:ascii="Times New Roman" w:hAnsi="Times New Roman" w:cs="Times New Roman"/>
          <w:color w:val="215E99" w:themeColor="text2" w:themeTint="BF"/>
          <w:kern w:val="0"/>
        </w:rPr>
      </w:pPr>
      <w:r w:rsidRPr="00DC1A4D">
        <w:rPr>
          <w:rFonts w:ascii="Times New Roman" w:hAnsi="Times New Roman" w:cs="Times New Roman"/>
          <w:color w:val="215E99" w:themeColor="text2" w:themeTint="BF"/>
          <w:kern w:val="0"/>
        </w:rPr>
        <w:t xml:space="preserve">9. "Equation 5: clarify behavior of the inverse </w:t>
      </w:r>
      <w:proofErr w:type="spellStart"/>
      <w:r w:rsidRPr="00DC1A4D">
        <w:rPr>
          <w:rFonts w:ascii="Times New Roman" w:hAnsi="Times New Roman" w:cs="Times New Roman"/>
          <w:color w:val="215E99" w:themeColor="text2" w:themeTint="BF"/>
          <w:kern w:val="0"/>
        </w:rPr>
        <w:t>nu_T</w:t>
      </w:r>
      <w:proofErr w:type="spellEnd"/>
      <w:r w:rsidRPr="00DC1A4D">
        <w:rPr>
          <w:rFonts w:ascii="Times New Roman" w:hAnsi="Times New Roman" w:cs="Times New Roman"/>
          <w:color w:val="215E99" w:themeColor="text2" w:themeTint="BF"/>
          <w:kern w:val="0"/>
        </w:rPr>
        <w:t xml:space="preserve"> and </w:t>
      </w:r>
      <w:proofErr w:type="spellStart"/>
      <w:r w:rsidRPr="00DC1A4D">
        <w:rPr>
          <w:rFonts w:ascii="Times New Roman" w:hAnsi="Times New Roman" w:cs="Times New Roman"/>
          <w:color w:val="215E99" w:themeColor="text2" w:themeTint="BF"/>
          <w:kern w:val="0"/>
        </w:rPr>
        <w:t>nu_R</w:t>
      </w:r>
      <w:proofErr w:type="spellEnd"/>
      <w:r w:rsidRPr="00DC1A4D">
        <w:rPr>
          <w:rFonts w:ascii="Times New Roman" w:hAnsi="Times New Roman" w:cs="Times New Roman"/>
          <w:color w:val="215E99" w:themeColor="text2" w:themeTint="BF"/>
          <w:kern w:val="0"/>
        </w:rPr>
        <w:t xml:space="preserve"> terms as these factors approach zero."</w:t>
      </w:r>
    </w:p>
    <w:p w14:paraId="62BE055A" w14:textId="77777777" w:rsidR="00DC1A4D" w:rsidRPr="00DC1A4D" w:rsidRDefault="00DC1A4D" w:rsidP="00DC1A4D">
      <w:pPr>
        <w:spacing w:after="0"/>
        <w:rPr>
          <w:rFonts w:ascii="Times New Roman" w:hAnsi="Times New Roman" w:cs="Times New Roman"/>
          <w:color w:val="000000"/>
          <w:kern w:val="0"/>
        </w:rPr>
      </w:pPr>
    </w:p>
    <w:p w14:paraId="2EE04415" w14:textId="50711A8A" w:rsidR="00DC1A4D" w:rsidRPr="00DC1A4D" w:rsidRDefault="00DC1A4D" w:rsidP="00DC1A4D">
      <w:pPr>
        <w:spacing w:after="0"/>
        <w:rPr>
          <w:rFonts w:ascii="Times New Roman" w:hAnsi="Times New Roman" w:cs="Times New Roman"/>
          <w:color w:val="000000"/>
          <w:kern w:val="0"/>
        </w:rPr>
      </w:pPr>
      <w:r w:rsidRPr="00DC1A4D">
        <w:rPr>
          <w:rFonts w:ascii="Times New Roman" w:hAnsi="Times New Roman" w:cs="Times New Roman"/>
          <w:color w:val="000000"/>
          <w:kern w:val="0"/>
        </w:rPr>
        <w:t>We added a paragraph in the Growth Dynamics subsection (Section 2.</w:t>
      </w:r>
      <w:r w:rsidR="00225737">
        <w:rPr>
          <w:rFonts w:ascii="Times New Roman" w:hAnsi="Times New Roman" w:cs="Times New Roman"/>
          <w:color w:val="000000"/>
          <w:kern w:val="0"/>
        </w:rPr>
        <w:t>2) that explains how the factors are</w:t>
      </w:r>
      <w:r w:rsidRPr="00DC1A4D">
        <w:rPr>
          <w:rFonts w:ascii="Times New Roman" w:hAnsi="Times New Roman" w:cs="Times New Roman"/>
          <w:color w:val="000000"/>
          <w:kern w:val="0"/>
        </w:rPr>
        <w:t xml:space="preserve"> mathematically guaranteed to remain strictly positive, so a true divide-by-zero cannot occur.</w:t>
      </w:r>
    </w:p>
    <w:p w14:paraId="6CA0B32A" w14:textId="77777777" w:rsidR="00DC1A4D" w:rsidRPr="00DC1A4D" w:rsidRDefault="00DC1A4D" w:rsidP="00DC1A4D">
      <w:pPr>
        <w:spacing w:after="0"/>
        <w:rPr>
          <w:rFonts w:ascii="Times New Roman" w:hAnsi="Times New Roman" w:cs="Times New Roman"/>
          <w:color w:val="000000"/>
          <w:kern w:val="0"/>
        </w:rPr>
      </w:pPr>
    </w:p>
    <w:p w14:paraId="6C0654C8" w14:textId="4297DC22" w:rsidR="00DC1A4D" w:rsidRPr="00DC1A4D" w:rsidRDefault="00DC1A4D" w:rsidP="00DC1A4D">
      <w:pPr>
        <w:spacing w:after="0"/>
        <w:rPr>
          <w:rFonts w:ascii="Times New Roman" w:hAnsi="Times New Roman" w:cs="Times New Roman"/>
          <w:color w:val="215E99" w:themeColor="text2" w:themeTint="BF"/>
          <w:kern w:val="0"/>
        </w:rPr>
      </w:pPr>
      <w:r w:rsidRPr="00DC1A4D">
        <w:rPr>
          <w:rFonts w:ascii="Times New Roman" w:hAnsi="Times New Roman" w:cs="Times New Roman"/>
          <w:color w:val="215E99" w:themeColor="text2" w:themeTint="BF"/>
          <w:kern w:val="0"/>
        </w:rPr>
        <w:t>10. "If time permits, a brief sensitivity analysis on crop-specific parameters or a second crop demonstration would support the generalizability claims in the conclusion, but this should not be a necessary experiment for acceptance of this paper."</w:t>
      </w:r>
    </w:p>
    <w:p w14:paraId="49EF6688" w14:textId="77777777" w:rsidR="00DC1A4D" w:rsidRPr="00DC1A4D" w:rsidRDefault="00DC1A4D" w:rsidP="00DC1A4D">
      <w:pPr>
        <w:spacing w:after="0"/>
        <w:rPr>
          <w:rFonts w:ascii="Times New Roman" w:hAnsi="Times New Roman" w:cs="Times New Roman"/>
          <w:color w:val="000000"/>
          <w:kern w:val="0"/>
        </w:rPr>
      </w:pPr>
    </w:p>
    <w:p w14:paraId="6BF52AF0" w14:textId="6B9C58FA" w:rsidR="00950D06" w:rsidRPr="00DC1A4D" w:rsidRDefault="00DC1A4D" w:rsidP="00004D31">
      <w:pPr>
        <w:spacing w:after="0"/>
        <w:rPr>
          <w:rFonts w:ascii="Times New Roman" w:hAnsi="Times New Roman" w:cs="Times New Roman"/>
          <w:color w:val="000000"/>
          <w:kern w:val="0"/>
        </w:rPr>
      </w:pPr>
      <w:r w:rsidRPr="00DC1A4D">
        <w:rPr>
          <w:rFonts w:ascii="Times New Roman" w:hAnsi="Times New Roman" w:cs="Times New Roman"/>
          <w:color w:val="000000"/>
          <w:kern w:val="0"/>
        </w:rPr>
        <w:t xml:space="preserve">We appreciate this suggestion and view it as a natural next step for future work. </w:t>
      </w:r>
      <w:r w:rsidR="005B1405">
        <w:rPr>
          <w:rFonts w:ascii="Times New Roman" w:hAnsi="Times New Roman" w:cs="Times New Roman"/>
          <w:color w:val="000000"/>
          <w:kern w:val="0"/>
        </w:rPr>
        <w:t>Such an experiment would take a substantial amount of additional research to find and calibrate crop parameters.</w:t>
      </w:r>
      <w:r w:rsidRPr="00DC1A4D">
        <w:rPr>
          <w:rFonts w:ascii="Times New Roman" w:hAnsi="Times New Roman" w:cs="Times New Roman"/>
          <w:color w:val="000000"/>
          <w:kern w:val="0"/>
        </w:rPr>
        <w:t xml:space="preserve"> We intend to pursue a multi-crop demonstration </w:t>
      </w:r>
      <w:r w:rsidR="005B1405">
        <w:rPr>
          <w:rFonts w:ascii="Times New Roman" w:hAnsi="Times New Roman" w:cs="Times New Roman"/>
          <w:color w:val="000000"/>
          <w:kern w:val="0"/>
        </w:rPr>
        <w:t>in the future</w:t>
      </w:r>
      <w:r w:rsidRPr="00DC1A4D">
        <w:rPr>
          <w:rFonts w:ascii="Times New Roman" w:hAnsi="Times New Roman" w:cs="Times New Roman"/>
          <w:color w:val="000000"/>
          <w:kern w:val="0"/>
        </w:rPr>
        <w:t>.</w:t>
      </w:r>
    </w:p>
    <w:sectPr w:rsidR="00950D06" w:rsidRPr="00DC1A4D" w:rsidSect="00004D3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811A6"/>
    <w:multiLevelType w:val="hybridMultilevel"/>
    <w:tmpl w:val="5B845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5418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D31"/>
    <w:rsid w:val="00004D31"/>
    <w:rsid w:val="001340FE"/>
    <w:rsid w:val="001B2BB8"/>
    <w:rsid w:val="00225737"/>
    <w:rsid w:val="00473890"/>
    <w:rsid w:val="0052597E"/>
    <w:rsid w:val="005B1405"/>
    <w:rsid w:val="00636C30"/>
    <w:rsid w:val="007137F4"/>
    <w:rsid w:val="0076626A"/>
    <w:rsid w:val="00824C09"/>
    <w:rsid w:val="008D6049"/>
    <w:rsid w:val="00950D06"/>
    <w:rsid w:val="00A45A2E"/>
    <w:rsid w:val="00D00219"/>
    <w:rsid w:val="00DC1A4D"/>
    <w:rsid w:val="00DD0F17"/>
    <w:rsid w:val="00E80C6C"/>
    <w:rsid w:val="00E819AF"/>
    <w:rsid w:val="00E933E1"/>
    <w:rsid w:val="00E9486A"/>
    <w:rsid w:val="00F5160F"/>
    <w:rsid w:val="00F55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4838F0"/>
  <w14:defaultImageDpi w14:val="32767"/>
  <w15:chartTrackingRefBased/>
  <w15:docId w15:val="{09D4512A-D10E-F04C-A90D-15C5F0207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D31"/>
    <w:rPr>
      <w:rFonts w:eastAsiaTheme="majorEastAsia" w:cstheme="majorBidi"/>
      <w:color w:val="272727" w:themeColor="text1" w:themeTint="D8"/>
    </w:rPr>
  </w:style>
  <w:style w:type="paragraph" w:styleId="Title">
    <w:name w:val="Title"/>
    <w:basedOn w:val="Normal"/>
    <w:next w:val="Normal"/>
    <w:link w:val="TitleChar"/>
    <w:uiPriority w:val="10"/>
    <w:qFormat/>
    <w:rsid w:val="00004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D31"/>
    <w:pPr>
      <w:spacing w:before="160"/>
      <w:jc w:val="center"/>
    </w:pPr>
    <w:rPr>
      <w:i/>
      <w:iCs/>
      <w:color w:val="404040" w:themeColor="text1" w:themeTint="BF"/>
    </w:rPr>
  </w:style>
  <w:style w:type="character" w:customStyle="1" w:styleId="QuoteChar">
    <w:name w:val="Quote Char"/>
    <w:basedOn w:val="DefaultParagraphFont"/>
    <w:link w:val="Quote"/>
    <w:uiPriority w:val="29"/>
    <w:rsid w:val="00004D31"/>
    <w:rPr>
      <w:i/>
      <w:iCs/>
      <w:color w:val="404040" w:themeColor="text1" w:themeTint="BF"/>
    </w:rPr>
  </w:style>
  <w:style w:type="paragraph" w:styleId="ListParagraph">
    <w:name w:val="List Paragraph"/>
    <w:basedOn w:val="Normal"/>
    <w:uiPriority w:val="34"/>
    <w:qFormat/>
    <w:rsid w:val="00004D31"/>
    <w:pPr>
      <w:ind w:left="720"/>
      <w:contextualSpacing/>
    </w:pPr>
  </w:style>
  <w:style w:type="character" w:styleId="IntenseEmphasis">
    <w:name w:val="Intense Emphasis"/>
    <w:basedOn w:val="DefaultParagraphFont"/>
    <w:uiPriority w:val="21"/>
    <w:qFormat/>
    <w:rsid w:val="00004D31"/>
    <w:rPr>
      <w:i/>
      <w:iCs/>
      <w:color w:val="0F4761" w:themeColor="accent1" w:themeShade="BF"/>
    </w:rPr>
  </w:style>
  <w:style w:type="paragraph" w:styleId="IntenseQuote">
    <w:name w:val="Intense Quote"/>
    <w:basedOn w:val="Normal"/>
    <w:next w:val="Normal"/>
    <w:link w:val="IntenseQuoteChar"/>
    <w:uiPriority w:val="30"/>
    <w:qFormat/>
    <w:rsid w:val="00004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D31"/>
    <w:rPr>
      <w:i/>
      <w:iCs/>
      <w:color w:val="0F4761" w:themeColor="accent1" w:themeShade="BF"/>
    </w:rPr>
  </w:style>
  <w:style w:type="character" w:styleId="IntenseReference">
    <w:name w:val="Intense Reference"/>
    <w:basedOn w:val="DefaultParagraphFont"/>
    <w:uiPriority w:val="32"/>
    <w:qFormat/>
    <w:rsid w:val="00004D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621</Words>
  <Characters>4277</Characters>
  <Application>Microsoft Office Word</Application>
  <DocSecurity>0</DocSecurity>
  <Lines>87</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Becker</dc:creator>
  <cp:keywords/>
  <dc:description/>
  <cp:lastModifiedBy>Carla Becker</cp:lastModifiedBy>
  <cp:revision>4</cp:revision>
  <dcterms:created xsi:type="dcterms:W3CDTF">2026-04-22T04:40:00Z</dcterms:created>
  <dcterms:modified xsi:type="dcterms:W3CDTF">2026-04-22T04:57:00Z</dcterms:modified>
</cp:coreProperties>
</file>