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Documento de Requisitos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PPG-UFBA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Criação: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06.06.2017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Versão: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1.0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Responsáveis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 xml:space="preserve">Edicarla Silva e Monira Silva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 xml:space="preserve">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1. Histórico de Revisões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Responsável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Mudança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06.06.2017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Edicarla Silva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Adição dos requisitos iniciais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2. Introdução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documento apresenta os requisitos funcionais, os atributos de qualidade e as principais decisões relacionadas aos requisitos ao longo do projeto.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3. Requisitos Funcionais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 01 – Logar no Sistema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o usuário efetue login no sistema.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Prioridade:  Alta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 02 – Cadastrar Aluno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o usuário administrador realize o  cadastro de alunos.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Prioridade:  Alta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 03 - Cadastrar Curso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o usuário administrador realize o  cadastro de cursos.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 04 - Cadastrar Instituição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o usuário administrador realize o  cadastro de instituições.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 05 - Cadastrar Professor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o usuário administrador realize o  cadastro de professores.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 06 – Recuperar Senha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o usuário possa recuperar a senha de acesso ao sistema.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Prioridade:  Média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 07 – Sair do Sistema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o usuário efetue logout no sistema.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Prioridade:  Alta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4. Atributos de Qualidade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Segurança. O sistema deve permitir o acesso de dois perfis de usuário: usuário e administrador. O administrador será cadastrado com o usuário “admin” e senha fornecida.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5. Decisões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 seção apresenta as principais decisões consideradas com base nos requisitos do produto.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