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E31DE" w:rsidRPr="00FE31DE" w:rsidRDefault="00FE31DE" w:rsidP="00FE31DE">
      <w:pPr>
        <w:rPr>
          <w:lang w:val="en-US"/>
        </w:rPr>
      </w:pPr>
      <w:r w:rsidRPr="00FE31DE">
        <w:rPr>
          <w:b/>
          <w:bCs/>
          <w:u w:val="single"/>
          <w:lang w:val="en-US"/>
        </w:rPr>
        <w:t>Introduction</w:t>
      </w:r>
    </w:p>
    <w:p w:rsidR="00FE31DE" w:rsidRPr="00B83EED" w:rsidRDefault="00FE31DE" w:rsidP="00FE31DE">
      <w:r w:rsidRPr="00B83EED">
        <w:t xml:space="preserve">The aim of our analysis is to understand the evolution of motor symptom severity over time in patients diagnosed with Parkinson’s Disease, and the influence of patient characteristics such as sex, age at diagnosis, and specific lifestyle factors on this evolution. In this study, Unified Parkinson’s Disease Rating Scale (UPDRS) Part III is used to quantify motor symptom severity. This score ranges from 0 to 108, where the higher value indicates a more severe motor impairment. </w:t>
      </w:r>
    </w:p>
    <w:p w:rsidR="00FE31DE" w:rsidRPr="00B83EED" w:rsidRDefault="00FE31DE" w:rsidP="00FE31DE">
      <w:pPr>
        <w:rPr>
          <w:rFonts w:eastAsiaTheme="minorHAnsi"/>
          <w:kern w:val="2"/>
          <w:lang w:eastAsia="en-US"/>
          <w14:ligatures w14:val="standardContextual"/>
        </w:rPr>
      </w:pPr>
      <w:r>
        <w:rPr>
          <w:lang w:val="en-US"/>
        </w:rPr>
        <w:t xml:space="preserve">The data was collected from 500 patients between 1996 and </w:t>
      </w:r>
      <w:r w:rsidRPr="00B83EED">
        <w:rPr>
          <w:lang w:val="en-US"/>
        </w:rPr>
        <w:t xml:space="preserve">2011. </w:t>
      </w:r>
      <w:r w:rsidRPr="00B83EED">
        <w:rPr>
          <w:rFonts w:eastAsiaTheme="minorHAnsi"/>
          <w:kern w:val="2"/>
          <w:lang w:eastAsia="en-US"/>
          <w14:ligatures w14:val="standardContextual"/>
        </w:rPr>
        <w:t>Assessments were conducted on patients at baseline, and then annually for 7 consecutive years. The</w:t>
      </w:r>
      <w:r w:rsidRPr="00FE31DE">
        <w:rPr>
          <w:lang w:val="en-US"/>
        </w:rPr>
        <w:t xml:space="preserve"> patients</w:t>
      </w:r>
      <w:r w:rsidRPr="00B83EED">
        <w:rPr>
          <w:rFonts w:eastAsiaTheme="minorHAnsi"/>
          <w:kern w:val="2"/>
          <w:lang w:eastAsia="en-US"/>
          <w14:ligatures w14:val="standardContextual"/>
        </w:rPr>
        <w:t xml:space="preserve"> smoking history was documented at baseline. Our focus in this report is on the influence of smoking status on the disease trajectory. A challenge often encountered in observational studies is the presence of missing data. This can be due to factors such as patient withdrawal, relocation, or inability to perform assessments as the disease progresses. We have also analysed the pattern of the missing data, and assessed whether the Missing At Random (MAR) assumption is reasonable in our case. </w:t>
      </w:r>
    </w:p>
    <w:p w:rsidR="00FE31DE" w:rsidRPr="00B83EED" w:rsidRDefault="00FE31DE" w:rsidP="00FE31DE">
      <w:r w:rsidRPr="00B83EED">
        <w:t xml:space="preserve">The structure of our report is as follows: Section 2 presents a descriptive analysis of the data; Section 3 presents the statistical analysis, including the final model and analysis results; The Appendix details the procedure and the statistical techniques we have used when selecting our final model, and how we have dealt with missing data. </w:t>
      </w:r>
    </w:p>
    <w:p w:rsidR="00FE31DE" w:rsidRPr="00B83EED" w:rsidRDefault="00FE31DE" w:rsidP="00FE31DE">
      <w:pPr>
        <w:rPr>
          <w:rFonts w:eastAsiaTheme="minorHAnsi"/>
          <w:kern w:val="2"/>
          <w:lang w:eastAsia="en-US"/>
          <w14:ligatures w14:val="standardContextual"/>
        </w:rPr>
      </w:pPr>
    </w:p>
    <w:p w:rsidR="00FE31DE" w:rsidRPr="00FE31DE" w:rsidRDefault="00FE31DE" w:rsidP="00FE31DE">
      <w:pPr>
        <w:rPr>
          <w:lang w:val="en-US"/>
        </w:rPr>
      </w:pPr>
      <w:r w:rsidRPr="00FE31DE">
        <w:rPr>
          <w:b/>
          <w:bCs/>
          <w:u w:val="single"/>
          <w:lang w:val="en-US"/>
        </w:rPr>
        <w:t>Discriptive Analysis</w:t>
      </w:r>
    </w:p>
    <w:p w:rsidR="00FE31DE" w:rsidRPr="00FE31DE" w:rsidRDefault="00FE31DE" w:rsidP="00FE31DE">
      <w:pPr>
        <w:rPr>
          <w:b/>
          <w:bCs/>
          <w:lang w:val="en-US"/>
        </w:rPr>
      </w:pPr>
      <w:r w:rsidRPr="00FE31DE">
        <w:rPr>
          <w:b/>
          <w:bCs/>
          <w:lang w:val="en-US"/>
        </w:rPr>
        <w:t>Age</w:t>
      </w:r>
    </w:p>
    <w:p w:rsidR="00FE31DE" w:rsidRDefault="00FE31DE" w:rsidP="00FE31DE">
      <w:r w:rsidRPr="00B83EED">
        <w:t xml:space="preserve">The dataset has patients with baseline ages ranging from 41.1 years to 88 years, and no implausible values were observed. Overall, the age distribution reflects a typical Parkinson’s disease cohort, with most patients diagnosed in their 50s to 70s and a moderate spread across </w:t>
      </w:r>
    </w:p>
    <w:p w:rsidR="00FE31DE" w:rsidRPr="00B83EED" w:rsidRDefault="00FE31DE" w:rsidP="00FE31DE">
      <w:r w:rsidRPr="00B83EED">
        <w:t xml:space="preserve">older age groups. </w:t>
      </w:r>
    </w:p>
    <w:p w:rsidR="00FE31DE" w:rsidRPr="00B83EED" w:rsidRDefault="00FE31DE" w:rsidP="00FE31DE">
      <w:pPr>
        <w:rPr>
          <w:b/>
          <w:bCs/>
          <w:lang w:val="en-US"/>
        </w:rPr>
      </w:pPr>
      <w:r>
        <w:rPr>
          <w:b/>
          <w:bCs/>
          <w:lang w:val="en-US"/>
        </w:rPr>
        <w:t>Sex</w:t>
      </w:r>
    </w:p>
    <w:p w:rsidR="00FE31DE" w:rsidRDefault="00FE31DE" w:rsidP="00FE31DE">
      <w:pPr>
        <w:rPr>
          <w:lang w:val="en-US"/>
        </w:rPr>
      </w:pPr>
      <w:r w:rsidRPr="00B83EED">
        <w:rPr>
          <w:lang w:val="en-US"/>
        </w:rPr>
        <w:t xml:space="preserve">The covariate sex is balanced with </w:t>
      </w:r>
      <w:r w:rsidRPr="00B83EED">
        <w:t>250 males and 250 females</w:t>
      </w:r>
      <w:r w:rsidRPr="00B83EED">
        <w:rPr>
          <w:lang w:val="en-US"/>
        </w:rPr>
        <w:t>.</w:t>
      </w:r>
    </w:p>
    <w:p w:rsidR="00FE31DE" w:rsidRPr="00B83EED" w:rsidRDefault="00FE31DE" w:rsidP="00FE31DE">
      <w:pPr>
        <w:rPr>
          <w:b/>
          <w:bCs/>
          <w:lang w:val="en-US"/>
        </w:rPr>
      </w:pPr>
      <w:r w:rsidRPr="00B83EED">
        <w:rPr>
          <w:b/>
          <w:bCs/>
          <w:lang w:val="en-US"/>
        </w:rPr>
        <w:t>Smoking status</w:t>
      </w:r>
    </w:p>
    <w:p w:rsidR="00FE31DE" w:rsidRPr="00B83EED" w:rsidRDefault="00FE31DE" w:rsidP="00FE31DE">
      <w:pPr>
        <w:rPr>
          <w:lang w:val="en-US"/>
        </w:rPr>
      </w:pPr>
      <w:r w:rsidRPr="00B83EED">
        <w:t>The majority of patients included in the dataset have never been smokers, slightly less than one third are former smokers, and approximately 20% are current smokers. The relatively small size of the current smoker group may limit precision when comparing disease trajectories across smoking categories, which will be considered in the subsequent analysis.</w:t>
      </w:r>
      <w:r w:rsidRPr="00B83EED">
        <w:rPr>
          <w:lang w:val="en-US"/>
        </w:rPr>
        <w:t xml:space="preserve"> The scores of the outcome variable, UPDRS, have a median of 16.02, but the overall longitudinal median is 22.73. This is an indication for right-skewed distribution. For this study that means that most patients have symptoms on a moderate level but some patients suffer from more sever impairment.</w:t>
      </w:r>
    </w:p>
    <w:p w:rsidR="00FE31DE" w:rsidRPr="00B83EED" w:rsidRDefault="00FE31DE" w:rsidP="00FE31DE">
      <w:pPr>
        <w:rPr>
          <w:b/>
          <w:bCs/>
        </w:rPr>
      </w:pPr>
      <w:r w:rsidRPr="00B83EED">
        <w:rPr>
          <w:b/>
          <w:bCs/>
        </w:rPr>
        <w:t xml:space="preserve">Missing Data </w:t>
      </w:r>
    </w:p>
    <w:p w:rsidR="00FE31DE" w:rsidRPr="00B83EED" w:rsidRDefault="00FE31DE" w:rsidP="00FE31DE">
      <w:r w:rsidRPr="00B83EED">
        <w:t xml:space="preserve">At baseline, all 500 patients were observed. At subsequent visits, observation counts ranged from 303 to 342, reflecting intermittent missingness over the follow-up period. </w:t>
      </w:r>
    </w:p>
    <w:p w:rsidR="00FE31DE" w:rsidRPr="00B83EED" w:rsidRDefault="00FE31DE" w:rsidP="00FE31DE"/>
    <w:p w:rsidR="00FE31DE" w:rsidRPr="00F33F75" w:rsidRDefault="00FE31DE" w:rsidP="00FE31DE">
      <w:pPr>
        <w:rPr>
          <w:u w:val="single"/>
          <w:lang w:val="de-DE"/>
        </w:rPr>
      </w:pPr>
      <w:r w:rsidRPr="00F33F75">
        <w:rPr>
          <w:b/>
          <w:bCs/>
          <w:u w:val="single"/>
          <w:lang w:val="de-DE"/>
        </w:rPr>
        <w:t xml:space="preserve">Longitudinal </w:t>
      </w:r>
      <w:proofErr w:type="spellStart"/>
      <w:r w:rsidRPr="00F33F75">
        <w:rPr>
          <w:b/>
          <w:bCs/>
          <w:u w:val="single"/>
          <w:lang w:val="de-DE"/>
        </w:rPr>
        <w:t>outcome</w:t>
      </w:r>
      <w:proofErr w:type="spellEnd"/>
    </w:p>
    <w:p w:rsidR="00FE31DE" w:rsidRPr="00F33F75" w:rsidRDefault="00FE31DE" w:rsidP="00FE31DE">
      <w:r w:rsidRPr="00F33F75">
        <w:t xml:space="preserve">In order to explore the longitudinal behaviour of UPDRS scores, we examined the mean structure, the variance structure, and the correlation structure over time. </w:t>
      </w:r>
    </w:p>
    <w:p w:rsidR="00FE31DE" w:rsidRPr="00FE31DE" w:rsidRDefault="00FE31DE" w:rsidP="00FE31DE">
      <w:pPr>
        <w:rPr>
          <w:lang w:val="en-US"/>
        </w:rPr>
      </w:pPr>
      <w:r w:rsidRPr="00FE31DE">
        <w:rPr>
          <w:b/>
          <w:bCs/>
          <w:lang w:val="en-US"/>
        </w:rPr>
        <w:t>Mean structure</w:t>
      </w:r>
    </w:p>
    <w:p w:rsidR="00FE31DE" w:rsidRPr="00F33F75" w:rsidRDefault="00FE31DE" w:rsidP="00FE31DE">
      <w:pPr>
        <w:rPr>
          <w:rFonts w:eastAsiaTheme="minorHAnsi"/>
          <w:kern w:val="2"/>
          <w:lang w:eastAsia="en-US"/>
          <w14:ligatures w14:val="standardContextual"/>
        </w:rPr>
      </w:pPr>
      <w:r w:rsidRPr="00F33F75">
        <w:rPr>
          <w:rFonts w:eastAsiaTheme="minorHAnsi"/>
          <w:kern w:val="2"/>
          <w:lang w:eastAsia="en-US"/>
          <w14:ligatures w14:val="standardContextual"/>
        </w:rPr>
        <w:t xml:space="preserve">The mean UPDRS Part III score increases steadily across follow-up visits, indicating a clear progression of </w:t>
      </w:r>
    </w:p>
    <w:p w:rsidR="00FE31DE" w:rsidRPr="00F33F75" w:rsidRDefault="00FE31DE" w:rsidP="00FE31DE">
      <w:pPr>
        <w:rPr>
          <w:rFonts w:eastAsiaTheme="minorHAnsi"/>
          <w:kern w:val="2"/>
          <w:lang w:eastAsia="en-US"/>
          <w14:ligatures w14:val="standardContextual"/>
        </w:rPr>
      </w:pPr>
      <w:r w:rsidRPr="00F33F75">
        <w:rPr>
          <w:rFonts w:eastAsiaTheme="minorHAnsi"/>
          <w:kern w:val="2"/>
          <w:lang w:eastAsia="en-US"/>
          <w14:ligatures w14:val="standardContextual"/>
        </w:rPr>
        <w:t xml:space="preserve">motor symptom severity over time.The mean UPDRS score increases from 17.24 at baseline to 39.99 at Visit 7. The trajectory appears approximately linear, although the slope increases </w:t>
      </w:r>
      <w:r w:rsidRPr="00F33F75">
        <w:rPr>
          <w:rFonts w:eastAsiaTheme="minorHAnsi"/>
          <w:kern w:val="2"/>
          <w:lang w:eastAsia="en-US"/>
          <w14:ligatures w14:val="standardContextual"/>
        </w:rPr>
        <w:lastRenderedPageBreak/>
        <w:t xml:space="preserve">slightly in later follow-up visits. This may indicate a slight acceleration of symptom progression overtime. </w:t>
      </w:r>
    </w:p>
    <w:p w:rsidR="00FE31DE" w:rsidRPr="00FE31DE" w:rsidRDefault="00FE31DE" w:rsidP="00FE31DE">
      <w:pPr>
        <w:rPr>
          <w:lang w:val="en-US"/>
        </w:rPr>
      </w:pPr>
      <w:r w:rsidRPr="00FE31DE">
        <w:rPr>
          <w:b/>
          <w:bCs/>
          <w:lang w:val="en-US"/>
        </w:rPr>
        <w:t>Variance structure</w:t>
      </w:r>
    </w:p>
    <w:p w:rsidR="00FE31DE" w:rsidRPr="00F33F75" w:rsidRDefault="00FE31DE" w:rsidP="00FE31DE">
      <w:r w:rsidRPr="00F33F75">
        <w:t xml:space="preserve">The spaghetti plot displays the longitudinal UPDRS trajectories for all patients over the 7- year follow-up period. Each light blue line represents the repeated measurements of a single patient, while the darker blue line corresponds to the average trajectory across all patients. </w:t>
      </w:r>
    </w:p>
    <w:p w:rsidR="00FE31DE" w:rsidRPr="00F33F75" w:rsidRDefault="00FE31DE" w:rsidP="00FE31DE">
      <w:pPr>
        <w:rPr>
          <w:lang w:val="en-US"/>
        </w:rPr>
      </w:pPr>
      <w:r w:rsidRPr="00F33F75">
        <w:t xml:space="preserve">Overall, the average UPDRS score increases steadily over time, indicating a clear worsening of motor symptoms as the disease progresses. However, the individual trajectories reveal substantial heterogeneity between patients. In addition to the differences at baseline, patients also appear to differ in their rates of progression, suggesting that patients not only start at different levels of motor impairment, but may also deteriorate at different rates. </w:t>
      </w:r>
      <w:r w:rsidRPr="00F33F75">
        <w:rPr>
          <w:lang w:val="en-US"/>
        </w:rPr>
        <w:t xml:space="preserve">The observe variance at the first visit was 80.44 compared to the last visit 345.66. This is also reflected in the spaghetti plot and shows that participants differ in the severity of their symptoms and also in their progression. The pattern in the correlation matrix shows that a </w:t>
      </w:r>
      <w:r w:rsidRPr="00F33F75">
        <w:t>simple compound symmetry assumption</w:t>
      </w:r>
      <w:r w:rsidRPr="00F33F75">
        <w:rPr>
          <w:lang w:val="en-US"/>
        </w:rPr>
        <w:t xml:space="preserve"> does not hold and that it needs to be adjusted for </w:t>
      </w:r>
      <w:r w:rsidRPr="00F33F75">
        <w:t>temporal dependency</w:t>
      </w:r>
      <w:r w:rsidRPr="00F33F75">
        <w:rPr>
          <w:lang w:val="en-US"/>
        </w:rPr>
        <w:t>.</w:t>
      </w:r>
      <w:r>
        <w:rPr>
          <w:lang w:val="en-US"/>
        </w:rPr>
        <w:t xml:space="preserve"> Furthermore because of the high correlation of visits with a short follow up period (r = 0.55) which reduces with longer follow up period (r = 0.32).</w:t>
      </w:r>
    </w:p>
    <w:p w:rsidR="00FE31DE" w:rsidRPr="00F33F75" w:rsidRDefault="00FE31DE" w:rsidP="00FE31DE">
      <w:pPr>
        <w:rPr>
          <w:lang w:val="en-US"/>
        </w:rPr>
      </w:pPr>
    </w:p>
    <w:p w:rsidR="00FE31DE" w:rsidRPr="00FE31DE" w:rsidRDefault="00FE31DE">
      <w:pPr>
        <w:rPr>
          <w:lang w:val="en-US"/>
        </w:rPr>
      </w:pPr>
    </w:p>
    <w:sectPr w:rsidR="00FE31DE" w:rsidRPr="00FE31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1DE"/>
    <w:rsid w:val="00FE31D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EBC20E-FBF0-004F-B141-26975E693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1DE"/>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Domning</dc:creator>
  <cp:keywords/>
  <dc:description/>
  <cp:lastModifiedBy>Clara Domning</cp:lastModifiedBy>
  <cp:revision>1</cp:revision>
  <dcterms:created xsi:type="dcterms:W3CDTF">2026-03-30T10:59:00Z</dcterms:created>
  <dcterms:modified xsi:type="dcterms:W3CDTF">2026-03-30T11:02:00Z</dcterms:modified>
</cp:coreProperties>
</file>