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0E06" w:rsidRPr="00ED50AD" w:rsidRDefault="00AC0E06" w:rsidP="00AC0E06">
      <w:pPr>
        <w:rPr>
          <w:b/>
          <w:bCs/>
          <w:u w:val="single"/>
          <w:lang w:val="en-GB"/>
        </w:rPr>
      </w:pPr>
    </w:p>
    <w:p w:rsidR="00AC0E06" w:rsidRPr="00ED50AD" w:rsidRDefault="00AC0E06" w:rsidP="00AC0E06">
      <w:pPr>
        <w:rPr>
          <w:lang w:val="en-GB"/>
        </w:rPr>
      </w:pPr>
      <w:r w:rsidRPr="00ED50AD">
        <w:rPr>
          <w:b/>
          <w:bCs/>
          <w:u w:val="single"/>
          <w:lang w:val="en-GB"/>
        </w:rPr>
        <w:t>Introduction</w:t>
      </w:r>
    </w:p>
    <w:p w:rsidR="00AC0E06" w:rsidRPr="00B83EED" w:rsidRDefault="00AC0E06" w:rsidP="00AC0E06">
      <w:pPr>
        <w:rPr>
          <w:lang w:val="en-GB"/>
        </w:rPr>
      </w:pPr>
      <w:r w:rsidRPr="00B83EED">
        <w:rPr>
          <w:lang w:val="en-GB"/>
        </w:rPr>
        <w:t xml:space="preserve">The aim of our analysis is to understand the evolution of motor symptom severity over time in patients diagnosed with Parkinson’s Disease and the influence of patient characteristics such as sex, age at diagnosis, and specific lifestyle factors on this evolution. In this study, Unified Parkinson’s Disease Rating Scale (UPDRS) Part III is used to quantify motor symptom severity. This score ranges from 0 to 108, where the higher value indicates a more severe motor impairment. </w:t>
      </w:r>
    </w:p>
    <w:p w:rsidR="00AC0E06" w:rsidRPr="00ED50AD" w:rsidRDefault="00AC0E06" w:rsidP="00AC0E06">
      <w:pPr>
        <w:rPr>
          <w:rFonts w:eastAsiaTheme="minorHAnsi"/>
          <w:kern w:val="2"/>
          <w:lang w:val="en-GB" w:eastAsia="en-US"/>
          <w14:ligatures w14:val="standardContextual"/>
        </w:rPr>
      </w:pPr>
      <w:r w:rsidRPr="00ED50AD">
        <w:rPr>
          <w:lang w:val="en-GB"/>
        </w:rPr>
        <w:t xml:space="preserve">The data was collected from 500 patients between 1996 and 2011. </w:t>
      </w:r>
      <w:r w:rsidRPr="00ED50AD">
        <w:rPr>
          <w:rFonts w:eastAsiaTheme="minorHAnsi"/>
          <w:kern w:val="2"/>
          <w:lang w:val="en-GB" w:eastAsia="en-US"/>
          <w14:ligatures w14:val="standardContextual"/>
        </w:rPr>
        <w:t>Assessments were conducted on patients at baseline and then annually for 7 consecutive years. The</w:t>
      </w:r>
      <w:r w:rsidRPr="00ED50AD">
        <w:rPr>
          <w:lang w:val="en-GB"/>
        </w:rPr>
        <w:t xml:space="preserve"> </w:t>
      </w:r>
      <w:r w:rsidR="001C7848" w:rsidRPr="00ED50AD">
        <w:rPr>
          <w:lang w:val="en-GB"/>
        </w:rPr>
        <w:t>patients’</w:t>
      </w:r>
      <w:r w:rsidRPr="00ED50AD">
        <w:rPr>
          <w:rFonts w:eastAsiaTheme="minorHAnsi"/>
          <w:kern w:val="2"/>
          <w:lang w:val="en-GB" w:eastAsia="en-US"/>
          <w14:ligatures w14:val="standardContextual"/>
        </w:rPr>
        <w:t xml:space="preserve"> smoking history was documented at baseline. Our focus in this report is on the influence of smoking status on the disease trajectory. A challenge often encountered in observational studies is the presence of missing data. This can be due to factors such as patient withdrawal, relocation, or inability to perform assessments as the disease progresses. We have also analysed the pattern of the missing data and assessed whether the Missing </w:t>
      </w:r>
      <w:proofErr w:type="gramStart"/>
      <w:r w:rsidRPr="00ED50AD">
        <w:rPr>
          <w:rFonts w:eastAsiaTheme="minorHAnsi"/>
          <w:kern w:val="2"/>
          <w:lang w:val="en-GB" w:eastAsia="en-US"/>
          <w14:ligatures w14:val="standardContextual"/>
        </w:rPr>
        <w:t>At</w:t>
      </w:r>
      <w:proofErr w:type="gramEnd"/>
      <w:r w:rsidRPr="00ED50AD">
        <w:rPr>
          <w:rFonts w:eastAsiaTheme="minorHAnsi"/>
          <w:kern w:val="2"/>
          <w:lang w:val="en-GB" w:eastAsia="en-US"/>
          <w14:ligatures w14:val="standardContextual"/>
        </w:rPr>
        <w:t xml:space="preserve"> Random (MAR) assumption is reasonable in our case. </w:t>
      </w:r>
    </w:p>
    <w:p w:rsidR="00AC0E06" w:rsidRPr="00B83EED" w:rsidRDefault="00AC0E06" w:rsidP="00AC0E06">
      <w:pPr>
        <w:rPr>
          <w:lang w:val="en-GB"/>
        </w:rPr>
      </w:pPr>
      <w:r w:rsidRPr="00B83EED">
        <w:rPr>
          <w:lang w:val="en-GB"/>
        </w:rPr>
        <w:t xml:space="preserve">The structure of our report is as follows: Section 2 presents a descriptive analysis of the data; Section 3 presents the statistical analysis, including the final model and analysis results; The </w:t>
      </w:r>
      <w:r w:rsidR="001C7848">
        <w:rPr>
          <w:lang w:val="en-GB"/>
        </w:rPr>
        <w:t>a</w:t>
      </w:r>
      <w:r w:rsidRPr="00B83EED">
        <w:rPr>
          <w:lang w:val="en-GB"/>
        </w:rPr>
        <w:t xml:space="preserve">ppendix details the procedure and the statistical techniques we have used when selecting our final model and how we have dealt with missing data. </w:t>
      </w:r>
    </w:p>
    <w:p w:rsidR="00AC0E06" w:rsidRPr="00ED50AD" w:rsidRDefault="00AC0E06" w:rsidP="00AC0E06">
      <w:pPr>
        <w:rPr>
          <w:rFonts w:eastAsiaTheme="minorHAnsi"/>
          <w:kern w:val="2"/>
          <w:lang w:val="en-GB" w:eastAsia="en-US"/>
          <w14:ligatures w14:val="standardContextual"/>
        </w:rPr>
      </w:pPr>
    </w:p>
    <w:p w:rsidR="00AC0E06" w:rsidRPr="00ED50AD" w:rsidRDefault="00AC0E06" w:rsidP="00AC0E06">
      <w:pPr>
        <w:rPr>
          <w:lang w:val="en-GB"/>
        </w:rPr>
      </w:pPr>
      <w:r w:rsidRPr="00ED50AD">
        <w:rPr>
          <w:b/>
          <w:bCs/>
          <w:u w:val="single"/>
          <w:lang w:val="en-GB"/>
        </w:rPr>
        <w:t>Descriptive Analysis</w:t>
      </w:r>
    </w:p>
    <w:p w:rsidR="00AC0E06" w:rsidRPr="00ED50AD" w:rsidRDefault="00AC0E06" w:rsidP="00AC0E06">
      <w:pPr>
        <w:rPr>
          <w:b/>
          <w:bCs/>
          <w:lang w:val="en-GB"/>
        </w:rPr>
      </w:pPr>
      <w:r w:rsidRPr="00ED50AD">
        <w:rPr>
          <w:b/>
          <w:bCs/>
          <w:lang w:val="en-GB"/>
        </w:rPr>
        <w:t>Age</w:t>
      </w:r>
    </w:p>
    <w:p w:rsidR="00AC0E06" w:rsidRPr="00ED50AD" w:rsidRDefault="00AC0E06" w:rsidP="00AC0E06">
      <w:pPr>
        <w:rPr>
          <w:lang w:val="en-GB"/>
        </w:rPr>
      </w:pPr>
      <w:r w:rsidRPr="00B83EED">
        <w:rPr>
          <w:lang w:val="en-GB"/>
        </w:rPr>
        <w:t xml:space="preserve">The dataset has patients with baseline ages ranging from 41.1 years to 88 years, and no implausible values were observed. Overall, the age distribution reflects a typical Parkinson’s disease cohort, with most patients diagnosed in their 50s to 70s and a moderate spread across </w:t>
      </w:r>
    </w:p>
    <w:p w:rsidR="00AC0E06" w:rsidRPr="00B83EED" w:rsidRDefault="00AC0E06" w:rsidP="00AC0E06">
      <w:pPr>
        <w:rPr>
          <w:lang w:val="en-GB"/>
        </w:rPr>
      </w:pPr>
      <w:r w:rsidRPr="00B83EED">
        <w:rPr>
          <w:lang w:val="en-GB"/>
        </w:rPr>
        <w:t xml:space="preserve">older age groups. </w:t>
      </w:r>
    </w:p>
    <w:p w:rsidR="00AC0E06" w:rsidRPr="00ED50AD" w:rsidRDefault="00AC0E06" w:rsidP="00AC0E06">
      <w:pPr>
        <w:rPr>
          <w:b/>
          <w:bCs/>
          <w:lang w:val="en-GB"/>
        </w:rPr>
      </w:pPr>
      <w:r w:rsidRPr="00ED50AD">
        <w:rPr>
          <w:b/>
          <w:bCs/>
          <w:lang w:val="en-GB"/>
        </w:rPr>
        <w:t>Sex</w:t>
      </w:r>
    </w:p>
    <w:p w:rsidR="00AC0E06" w:rsidRPr="00ED50AD" w:rsidRDefault="00AC0E06" w:rsidP="00AC0E06">
      <w:pPr>
        <w:rPr>
          <w:lang w:val="en-GB"/>
        </w:rPr>
      </w:pPr>
      <w:r w:rsidRPr="00ED50AD">
        <w:rPr>
          <w:lang w:val="en-GB"/>
        </w:rPr>
        <w:t>The covariate sex is balanced with 250 males and 250 females.</w:t>
      </w:r>
    </w:p>
    <w:p w:rsidR="00AC0E06" w:rsidRPr="00ED50AD" w:rsidRDefault="00AC0E06" w:rsidP="00AC0E06">
      <w:pPr>
        <w:rPr>
          <w:b/>
          <w:bCs/>
          <w:lang w:val="en-GB"/>
        </w:rPr>
      </w:pPr>
      <w:r w:rsidRPr="00ED50AD">
        <w:rPr>
          <w:b/>
          <w:bCs/>
          <w:lang w:val="en-GB"/>
        </w:rPr>
        <w:t>Smoking status</w:t>
      </w:r>
    </w:p>
    <w:p w:rsidR="00AC0E06" w:rsidRPr="00ED50AD" w:rsidRDefault="00AC0E06" w:rsidP="00AC0E06">
      <w:pPr>
        <w:rPr>
          <w:lang w:val="en-GB"/>
        </w:rPr>
      </w:pPr>
      <w:r w:rsidRPr="00B83EED">
        <w:rPr>
          <w:lang w:val="en-GB"/>
        </w:rPr>
        <w:t>The majority of patients</w:t>
      </w:r>
      <w:r w:rsidRPr="00B83EED">
        <w:t xml:space="preserve"> included in the dataset have never been smokers</w:t>
      </w:r>
      <w:r w:rsidR="001C7848" w:rsidRPr="001C7848">
        <w:rPr>
          <w:lang w:val="en-US"/>
        </w:rPr>
        <w:t>;</w:t>
      </w:r>
      <w:r w:rsidRPr="00B83EED">
        <w:t xml:space="preserve"> slightly less than one third are former smokers, and approximately 20% are current smokers. The relatively </w:t>
      </w:r>
      <w:r w:rsidRPr="00ED50AD">
        <w:rPr>
          <w:lang w:val="en-GB"/>
        </w:rPr>
        <w:t>small size of the current smoker group may limit precision when comparing disease trajectories across smoking categories, which will be considered in the subsequent analysis. The scores of the outcome variable, UPDRS, have a median of 16.02, but the overall longitudinal median is 22.73. This is an indication for right-skewed distribution. For this study that means that most patients have symptoms on a moderate level</w:t>
      </w:r>
      <w:r w:rsidR="001C7848">
        <w:rPr>
          <w:lang w:val="en-GB"/>
        </w:rPr>
        <w:t>,</w:t>
      </w:r>
      <w:r w:rsidRPr="00ED50AD">
        <w:rPr>
          <w:lang w:val="en-GB"/>
        </w:rPr>
        <w:t xml:space="preserve"> but some patients suffer from more sever</w:t>
      </w:r>
      <w:r w:rsidR="001C7848">
        <w:rPr>
          <w:lang w:val="en-GB"/>
        </w:rPr>
        <w:t>e</w:t>
      </w:r>
      <w:r w:rsidRPr="00ED50AD">
        <w:rPr>
          <w:lang w:val="en-GB"/>
        </w:rPr>
        <w:t xml:space="preserve"> impairment.</w:t>
      </w:r>
    </w:p>
    <w:p w:rsidR="00AC0E06" w:rsidRPr="00B83EED" w:rsidRDefault="00AC0E06" w:rsidP="00AC0E06">
      <w:pPr>
        <w:rPr>
          <w:b/>
          <w:bCs/>
          <w:lang w:val="en-GB"/>
        </w:rPr>
      </w:pPr>
      <w:r w:rsidRPr="00B83EED">
        <w:rPr>
          <w:b/>
          <w:bCs/>
          <w:lang w:val="en-GB"/>
        </w:rPr>
        <w:t xml:space="preserve">Missing Data </w:t>
      </w:r>
    </w:p>
    <w:p w:rsidR="00AC0E06" w:rsidRPr="00B83EED" w:rsidRDefault="00AC0E06" w:rsidP="00AC0E06">
      <w:pPr>
        <w:rPr>
          <w:lang w:val="en-GB"/>
        </w:rPr>
      </w:pPr>
      <w:r w:rsidRPr="00B83EED">
        <w:rPr>
          <w:lang w:val="en-GB"/>
        </w:rPr>
        <w:t xml:space="preserve">At baseline, all 500 patients were observed. At subsequent visits, observation counts ranged from 303 to 342, reflecting intermittent missingness over the follow-up period. </w:t>
      </w:r>
    </w:p>
    <w:p w:rsidR="00AC0E06" w:rsidRPr="00B83EED" w:rsidRDefault="00AC0E06" w:rsidP="00AC0E06">
      <w:pPr>
        <w:rPr>
          <w:lang w:val="en-GB"/>
        </w:rPr>
      </w:pPr>
    </w:p>
    <w:p w:rsidR="00AC0E06" w:rsidRPr="00ED50AD" w:rsidRDefault="00AC0E06" w:rsidP="00AC0E06">
      <w:pPr>
        <w:rPr>
          <w:u w:val="single"/>
          <w:lang w:val="en-GB"/>
        </w:rPr>
      </w:pPr>
      <w:r w:rsidRPr="00ED50AD">
        <w:rPr>
          <w:b/>
          <w:bCs/>
          <w:u w:val="single"/>
          <w:lang w:val="en-GB"/>
        </w:rPr>
        <w:t>Longitudinal Outcome</w:t>
      </w:r>
    </w:p>
    <w:p w:rsidR="00AC0E06" w:rsidRPr="00F33F75" w:rsidRDefault="00AC0E06" w:rsidP="00AC0E06">
      <w:pPr>
        <w:rPr>
          <w:lang w:val="en-GB"/>
        </w:rPr>
      </w:pPr>
      <w:r w:rsidRPr="00F33F75">
        <w:rPr>
          <w:lang w:val="en-GB"/>
        </w:rPr>
        <w:t xml:space="preserve">In order to explore the longitudinal behaviour of UPDRS scores, we examined the mean structure, the variance structure, and the correlation structure over time. </w:t>
      </w:r>
    </w:p>
    <w:p w:rsidR="00AC0E06" w:rsidRPr="00ED50AD" w:rsidRDefault="00AC0E06" w:rsidP="00AC0E06">
      <w:pPr>
        <w:rPr>
          <w:lang w:val="en-GB"/>
        </w:rPr>
      </w:pPr>
      <w:r w:rsidRPr="00ED50AD">
        <w:rPr>
          <w:b/>
          <w:bCs/>
          <w:lang w:val="en-GB"/>
        </w:rPr>
        <w:t>Mean structure</w:t>
      </w:r>
    </w:p>
    <w:p w:rsidR="00AC0E06" w:rsidRPr="00F33F75" w:rsidRDefault="00AC0E06" w:rsidP="00AC0E06">
      <w:pPr>
        <w:rPr>
          <w:rFonts w:eastAsiaTheme="minorHAnsi"/>
          <w:kern w:val="2"/>
          <w:lang w:val="en-GB" w:eastAsia="en-US"/>
          <w14:ligatures w14:val="standardContextual"/>
        </w:rPr>
      </w:pPr>
      <w:r w:rsidRPr="00F33F75">
        <w:rPr>
          <w:rFonts w:eastAsiaTheme="minorHAnsi"/>
          <w:kern w:val="2"/>
          <w:lang w:val="en-GB" w:eastAsia="en-US"/>
          <w14:ligatures w14:val="standardContextual"/>
        </w:rPr>
        <w:t xml:space="preserve">The mean UPDRS Part III score increases steadily across follow-up visits, indicating a clear progression of </w:t>
      </w:r>
    </w:p>
    <w:p w:rsidR="00AC0E06" w:rsidRPr="00F33F75" w:rsidRDefault="00AC0E06" w:rsidP="00AC0E06">
      <w:pPr>
        <w:rPr>
          <w:rFonts w:eastAsiaTheme="minorHAnsi"/>
          <w:kern w:val="2"/>
          <w:lang w:val="en-GB" w:eastAsia="en-US"/>
          <w14:ligatures w14:val="standardContextual"/>
        </w:rPr>
      </w:pPr>
      <w:r w:rsidRPr="00F33F75">
        <w:rPr>
          <w:rFonts w:eastAsiaTheme="minorHAnsi"/>
          <w:kern w:val="2"/>
          <w:lang w:val="en-GB" w:eastAsia="en-US"/>
          <w14:ligatures w14:val="standardContextual"/>
        </w:rPr>
        <w:t xml:space="preserve">motor symptom severity over time. The mean UPDRS score increases from 17.24 at baseline to 39.99 at Visit 7. The trajectory appears approximately linear, although the slope increases </w:t>
      </w:r>
      <w:r w:rsidRPr="00F33F75">
        <w:rPr>
          <w:rFonts w:eastAsiaTheme="minorHAnsi"/>
          <w:kern w:val="2"/>
          <w:lang w:val="en-GB" w:eastAsia="en-US"/>
          <w14:ligatures w14:val="standardContextual"/>
        </w:rPr>
        <w:lastRenderedPageBreak/>
        <w:t>slightly in later follow-up visits. This may indicate a slight acceleration of symptom progression over</w:t>
      </w:r>
      <w:r w:rsidR="001C7848">
        <w:rPr>
          <w:rFonts w:eastAsiaTheme="minorHAnsi"/>
          <w:kern w:val="2"/>
          <w:lang w:val="en-GB" w:eastAsia="en-US"/>
          <w14:ligatures w14:val="standardContextual"/>
        </w:rPr>
        <w:t xml:space="preserve"> </w:t>
      </w:r>
      <w:r w:rsidRPr="00F33F75">
        <w:rPr>
          <w:rFonts w:eastAsiaTheme="minorHAnsi"/>
          <w:kern w:val="2"/>
          <w:lang w:val="en-GB" w:eastAsia="en-US"/>
          <w14:ligatures w14:val="standardContextual"/>
        </w:rPr>
        <w:t xml:space="preserve">time. </w:t>
      </w:r>
    </w:p>
    <w:p w:rsidR="00AC0E06" w:rsidRPr="00ED50AD" w:rsidRDefault="00AC0E06" w:rsidP="00AC0E06">
      <w:pPr>
        <w:rPr>
          <w:lang w:val="en-GB"/>
        </w:rPr>
      </w:pPr>
      <w:r w:rsidRPr="00ED50AD">
        <w:rPr>
          <w:b/>
          <w:bCs/>
          <w:lang w:val="en-GB"/>
        </w:rPr>
        <w:t>Variance structure</w:t>
      </w:r>
    </w:p>
    <w:p w:rsidR="00AC0E06" w:rsidRPr="00F33F75" w:rsidRDefault="00AC0E06" w:rsidP="00AC0E06">
      <w:pPr>
        <w:rPr>
          <w:lang w:val="en-GB"/>
        </w:rPr>
      </w:pPr>
      <w:r w:rsidRPr="00F33F75">
        <w:rPr>
          <w:lang w:val="en-GB"/>
        </w:rPr>
        <w:t xml:space="preserve">The spaghetti plot displays the longitudinal UPDRS trajectories for all patients over the </w:t>
      </w:r>
      <w:r w:rsidR="001C7848" w:rsidRPr="00F33F75">
        <w:rPr>
          <w:lang w:val="en-GB"/>
        </w:rPr>
        <w:t>7-year</w:t>
      </w:r>
      <w:r w:rsidRPr="00F33F75">
        <w:rPr>
          <w:lang w:val="en-GB"/>
        </w:rPr>
        <w:t xml:space="preserve"> follow-up period. Each light blue line represents the repeated measurements of a single patient, while the darker blue line corresponds to the average trajectory across all patients. </w:t>
      </w:r>
    </w:p>
    <w:p w:rsidR="00AC0E06" w:rsidRPr="00F33F75" w:rsidRDefault="00AC0E06" w:rsidP="00AC0E06">
      <w:pPr>
        <w:rPr>
          <w:lang w:val="en-US"/>
        </w:rPr>
      </w:pPr>
      <w:r w:rsidRPr="00F33F75">
        <w:rPr>
          <w:lang w:val="en-GB"/>
        </w:rPr>
        <w:t xml:space="preserve">Overall, the average UPDRS score increases steadily over time, indicating a clear worsening of motor symptoms as the disease progresses. However, the individual trajectories reveal substantial heterogeneity between patients. In addition to the differences at baseline, patients also appear to differ in their rates of progression, suggesting that patients not only start at different levels of motor impairment but may also deteriorate at different rates. </w:t>
      </w:r>
      <w:r w:rsidRPr="00ED50AD">
        <w:rPr>
          <w:lang w:val="en-GB"/>
        </w:rPr>
        <w:t>The observe</w:t>
      </w:r>
      <w:r w:rsidR="001C7848">
        <w:rPr>
          <w:lang w:val="en-GB"/>
        </w:rPr>
        <w:t>d</w:t>
      </w:r>
      <w:r w:rsidRPr="00ED50AD">
        <w:rPr>
          <w:lang w:val="en-GB"/>
        </w:rPr>
        <w:t xml:space="preserve"> variance at the first visit was 80.44 compared to the last visit</w:t>
      </w:r>
      <w:r w:rsidR="001C7848">
        <w:rPr>
          <w:lang w:val="en-GB"/>
        </w:rPr>
        <w:t>,</w:t>
      </w:r>
      <w:r w:rsidRPr="00ED50AD">
        <w:rPr>
          <w:lang w:val="en-GB"/>
        </w:rPr>
        <w:t xml:space="preserve"> 345.66. This is also reflected in the spaghetti plot and shows that participants differ in the severity</w:t>
      </w:r>
      <w:r w:rsidRPr="00F33F75">
        <w:rPr>
          <w:lang w:val="en-US"/>
        </w:rPr>
        <w:t xml:space="preserve"> of their symptoms and also in their progression. The pattern in the correlation matrix shows that a </w:t>
      </w:r>
      <w:r w:rsidRPr="00F33F75">
        <w:t>simple compound symmetry assumption</w:t>
      </w:r>
      <w:r w:rsidRPr="00F33F75">
        <w:rPr>
          <w:lang w:val="en-US"/>
        </w:rPr>
        <w:t xml:space="preserve"> does not hold and that it needs to be adjusted for </w:t>
      </w:r>
      <w:r w:rsidRPr="00F33F75">
        <w:t>temporal dependency</w:t>
      </w:r>
      <w:r w:rsidRPr="00F33F75">
        <w:rPr>
          <w:lang w:val="en-US"/>
        </w:rPr>
        <w:t>.</w:t>
      </w:r>
      <w:r>
        <w:rPr>
          <w:lang w:val="en-US"/>
        </w:rPr>
        <w:t xml:space="preserve"> Furthermore</w:t>
      </w:r>
      <w:r w:rsidR="001C7848">
        <w:rPr>
          <w:lang w:val="en-US"/>
        </w:rPr>
        <w:t>,</w:t>
      </w:r>
      <w:r>
        <w:rPr>
          <w:lang w:val="en-US"/>
        </w:rPr>
        <w:t xml:space="preserve"> the high correlation of visits with a short follow</w:t>
      </w:r>
      <w:r w:rsidR="001C7848">
        <w:rPr>
          <w:lang w:val="en-US"/>
        </w:rPr>
        <w:t>-</w:t>
      </w:r>
      <w:r>
        <w:rPr>
          <w:lang w:val="en-US"/>
        </w:rPr>
        <w:t>up period (r = 0.55)</w:t>
      </w:r>
      <w:r w:rsidR="001C7848">
        <w:rPr>
          <w:lang w:val="en-US"/>
        </w:rPr>
        <w:t>,</w:t>
      </w:r>
      <w:r>
        <w:rPr>
          <w:lang w:val="en-US"/>
        </w:rPr>
        <w:t xml:space="preserve"> which reduces with </w:t>
      </w:r>
      <w:r w:rsidR="001C7848">
        <w:rPr>
          <w:lang w:val="en-US"/>
        </w:rPr>
        <w:t xml:space="preserve">a </w:t>
      </w:r>
      <w:r>
        <w:rPr>
          <w:lang w:val="en-US"/>
        </w:rPr>
        <w:t>longer follow</w:t>
      </w:r>
      <w:r w:rsidR="001C7848">
        <w:rPr>
          <w:lang w:val="en-US"/>
        </w:rPr>
        <w:t>-</w:t>
      </w:r>
      <w:r>
        <w:rPr>
          <w:lang w:val="en-US"/>
        </w:rPr>
        <w:t>up period (r = 0.32).</w:t>
      </w:r>
    </w:p>
    <w:p w:rsidR="00AC0E06" w:rsidRDefault="00AC0E06" w:rsidP="00AC0E06">
      <w:pPr>
        <w:rPr>
          <w:b/>
          <w:bCs/>
        </w:rPr>
      </w:pPr>
    </w:p>
    <w:p w:rsidR="00AC0E06" w:rsidRPr="00E764A9" w:rsidRDefault="00AC0E06" w:rsidP="00AC0E06">
      <w:pPr>
        <w:rPr>
          <w:b/>
          <w:bCs/>
          <w:u w:val="single"/>
        </w:rPr>
      </w:pPr>
      <w:r w:rsidRPr="00E764A9">
        <w:rPr>
          <w:b/>
          <w:bCs/>
          <w:u w:val="single"/>
        </w:rPr>
        <w:t>Statistical Analysis</w:t>
      </w:r>
    </w:p>
    <w:p w:rsidR="00AC0E06" w:rsidRDefault="00AC0E06" w:rsidP="00AC0E06">
      <w:pPr>
        <w:rPr>
          <w:b/>
          <w:bCs/>
        </w:rPr>
      </w:pPr>
      <w:r w:rsidRPr="00E764A9">
        <w:rPr>
          <w:b/>
          <w:bCs/>
        </w:rPr>
        <w:t>Final Model Specification</w:t>
      </w:r>
    </w:p>
    <w:p w:rsidR="00AC0E06" w:rsidRPr="00E764A9" w:rsidRDefault="00AC0E06" w:rsidP="00AC0E06">
      <w:r w:rsidRPr="00E764A9">
        <w:t xml:space="preserve">A linear mixed effects model was fitted to examine how the mean UPDRS scores evolve over time and how this evolution is influenced by smoking status, while also accounting for age and sex. The mean structure includes Visit, a quadratic term for Visit to account for the observed acceleration over time, smoking status, the interaction between Visit and smoking status, age, and sex as fixed effects. To account for between-patient variability in both the severity at baseline and progression rates, random intercepts and slopes for Visit were included. To address the </w:t>
      </w:r>
      <w:r w:rsidR="001C7848" w:rsidRPr="001C7848">
        <w:t>acceleration</w:t>
      </w:r>
      <w:r w:rsidRPr="001C7848">
        <w:t xml:space="preserve"> </w:t>
      </w:r>
      <w:r w:rsidRPr="00E764A9">
        <w:t xml:space="preserve">of residuals over time, an exponential variance function was applied. The error terms are assumed to be normally distributed and independent of the random effects. </w:t>
      </w:r>
    </w:p>
    <w:p w:rsidR="00AC0E06" w:rsidRDefault="00AC0E06" w:rsidP="00AC0E06"/>
    <w:p w:rsidR="00AC0E06" w:rsidRPr="00E764A9" w:rsidRDefault="00AC0E06" w:rsidP="00AC0E06">
      <w:pPr>
        <w:rPr>
          <w:lang w:val="en-US"/>
        </w:rPr>
      </w:pPr>
      <w:r w:rsidRPr="00E764A9">
        <w:rPr>
          <w:lang w:val="en-US"/>
        </w:rPr>
        <w:t xml:space="preserve">The model formulation is: </w:t>
      </w:r>
    </w:p>
    <w:p w:rsidR="00AC0E06" w:rsidRPr="00E764A9" w:rsidRDefault="00AC0E06" w:rsidP="00AC0E06">
      <w:pPr>
        <w:rPr>
          <w:lang w:val="en-US"/>
        </w:rPr>
      </w:pPr>
      <w:r w:rsidRPr="00E764A9">
        <w:rPr>
          <w:lang w:val="en-US"/>
        </w:rPr>
        <w:t>The missing data is assumed to</w:t>
      </w:r>
      <w:r>
        <w:rPr>
          <w:lang w:val="en-US"/>
        </w:rPr>
        <w:t xml:space="preserve"> </w:t>
      </w:r>
      <w:r w:rsidRPr="00E764A9">
        <w:rPr>
          <w:lang w:val="en-US"/>
        </w:rPr>
        <w:t>be missing at random</w:t>
      </w:r>
      <w:r w:rsidR="001C7848">
        <w:rPr>
          <w:lang w:val="en-US"/>
        </w:rPr>
        <w:t>,</w:t>
      </w:r>
      <w:r w:rsidRPr="00E764A9">
        <w:rPr>
          <w:lang w:val="en-US"/>
        </w:rPr>
        <w:t xml:space="preserve"> </w:t>
      </w:r>
      <w:r>
        <w:rPr>
          <w:lang w:val="en-US"/>
        </w:rPr>
        <w:t xml:space="preserve">which allows </w:t>
      </w:r>
      <w:r w:rsidR="001C7848" w:rsidRPr="001C7848">
        <w:t>yielding</w:t>
      </w:r>
      <w:r w:rsidR="001C7848" w:rsidRPr="001C7848">
        <w:rPr>
          <w:b/>
          <w:bCs/>
          <w:lang w:val="en-US"/>
        </w:rPr>
        <w:t xml:space="preserve"> </w:t>
      </w:r>
      <w:r>
        <w:rPr>
          <w:lang w:val="en-US"/>
        </w:rPr>
        <w:t>unbiased estimations.</w:t>
      </w:r>
    </w:p>
    <w:p w:rsidR="00AC0E06" w:rsidRPr="00E764A9" w:rsidRDefault="00AC0E06" w:rsidP="00AC0E06"/>
    <w:p w:rsidR="00AC0E06" w:rsidRDefault="00AC0E06" w:rsidP="00AC0E06">
      <w:pPr>
        <w:rPr>
          <w:b/>
          <w:bCs/>
          <w:lang w:val="en-US"/>
        </w:rPr>
      </w:pPr>
      <w:r>
        <w:rPr>
          <w:b/>
          <w:bCs/>
          <w:lang w:val="en-US"/>
        </w:rPr>
        <w:t>Results and interpretation</w:t>
      </w:r>
    </w:p>
    <w:p w:rsidR="00AC0E06" w:rsidRDefault="00AC0E06" w:rsidP="00AC0E06">
      <w:pPr>
        <w:rPr>
          <w:lang w:val="en-GB"/>
        </w:rPr>
      </w:pPr>
      <w:r w:rsidRPr="00D22A8B">
        <w:rPr>
          <w:lang w:val="en-GB"/>
        </w:rPr>
        <w:t xml:space="preserve">The results of the model using Restricted Maximum Likelihood (REML) showed that there is </w:t>
      </w:r>
      <w:r w:rsidR="00F917D1">
        <w:rPr>
          <w:lang w:val="en-GB"/>
        </w:rPr>
        <w:t xml:space="preserve">a </w:t>
      </w:r>
      <w:r w:rsidRPr="00D22A8B">
        <w:rPr>
          <w:lang w:val="en-GB"/>
        </w:rPr>
        <w:t>significant increase in motor symptom severity</w:t>
      </w:r>
      <w:r>
        <w:rPr>
          <w:lang w:val="en-GB"/>
        </w:rPr>
        <w:t xml:space="preserve"> (p &lt; 0.001). </w:t>
      </w:r>
    </w:p>
    <w:p w:rsidR="00AC0E06" w:rsidRDefault="00AC0E06" w:rsidP="00AC0E06">
      <w:pPr>
        <w:rPr>
          <w:lang w:val="en-GB"/>
        </w:rPr>
      </w:pPr>
    </w:p>
    <w:p w:rsidR="00AC0E06" w:rsidRPr="00D22A8B" w:rsidRDefault="00AC0E06" w:rsidP="00AC0E06">
      <w:pPr>
        <w:rPr>
          <w:b/>
          <w:bCs/>
        </w:rPr>
      </w:pPr>
      <w:r w:rsidRPr="00D22A8B">
        <w:rPr>
          <w:b/>
          <w:bCs/>
        </w:rPr>
        <w:t>Visit</w:t>
      </w:r>
    </w:p>
    <w:p w:rsidR="00AC0E06" w:rsidRPr="00D22A8B" w:rsidRDefault="00AC0E06" w:rsidP="00AC0E06">
      <w:r w:rsidRPr="00D22A8B">
        <w:t xml:space="preserve">At baseline, the average UPDRS scores increase by 1.47 points per visit (95% CI [0.89,2.05]). This indicates a statistically significant worsening of motor symptoms over time. The positive quadratic term (0.23, 95% CI [0.15, 0.31]) indicates that this rate of increase accelerates over time, consistent with the slight steepening observed in our descriptive analysis. </w:t>
      </w:r>
    </w:p>
    <w:p w:rsidR="00AC0E06" w:rsidRPr="00AD248C" w:rsidRDefault="00AC0E06" w:rsidP="00AC0E06">
      <w:pPr>
        <w:rPr>
          <w:b/>
          <w:bCs/>
        </w:rPr>
      </w:pPr>
      <w:r w:rsidRPr="00D22A8B">
        <w:rPr>
          <w:b/>
          <w:bCs/>
        </w:rPr>
        <w:t>Age</w:t>
      </w:r>
    </w:p>
    <w:p w:rsidR="00AC0E06" w:rsidRPr="00D22A8B" w:rsidRDefault="00AC0E06" w:rsidP="00AC0E06">
      <w:r w:rsidRPr="00D22A8B">
        <w:t>On average, UPDRS scores increase by 0.25 per a one</w:t>
      </w:r>
      <w:r w:rsidR="00F917D1" w:rsidRPr="00F917D1">
        <w:rPr>
          <w:lang w:val="en-US"/>
        </w:rPr>
        <w:t>-</w:t>
      </w:r>
      <w:r w:rsidRPr="00D22A8B">
        <w:t xml:space="preserve">year increase in the age of the participant at baseline (95% CI[0.20,0.30]). This indicates that older patients at diagnosis have significantly higher UPDRS scores on average. </w:t>
      </w:r>
    </w:p>
    <w:p w:rsidR="00AC0E06" w:rsidRPr="00AD248C" w:rsidRDefault="00AC0E06" w:rsidP="00AC0E06">
      <w:pPr>
        <w:rPr>
          <w:b/>
          <w:bCs/>
        </w:rPr>
      </w:pPr>
      <w:r w:rsidRPr="00D22A8B">
        <w:rPr>
          <w:b/>
          <w:bCs/>
        </w:rPr>
        <w:t>Sex</w:t>
      </w:r>
    </w:p>
    <w:p w:rsidR="00AC0E06" w:rsidRPr="00F33F75" w:rsidRDefault="00AC0E06" w:rsidP="00AC0E06">
      <w:r w:rsidRPr="00D22A8B">
        <w:lastRenderedPageBreak/>
        <w:t>Females have</w:t>
      </w:r>
      <w:r w:rsidR="00F917D1" w:rsidRPr="00F917D1">
        <w:rPr>
          <w:lang w:val="en-US"/>
        </w:rPr>
        <w:t>,</w:t>
      </w:r>
      <w:r w:rsidRPr="00D22A8B">
        <w:t xml:space="preserve"> on average</w:t>
      </w:r>
      <w:r w:rsidR="00F917D1" w:rsidRPr="00F917D1">
        <w:rPr>
          <w:lang w:val="en-US"/>
        </w:rPr>
        <w:t>,</w:t>
      </w:r>
      <w:r w:rsidRPr="00D22A8B">
        <w:t xml:space="preserve"> 0.21 points higher UPDRS scores than males (95% CI[- 1.15,1.56]). There is no statistically significant difference in UPDRS scores between males and females after accounting for our other variables. </w:t>
      </w:r>
    </w:p>
    <w:p w:rsidR="00AC0E06" w:rsidRPr="00AC0E06" w:rsidRDefault="00AC0E06" w:rsidP="00AC0E06">
      <w:pPr>
        <w:rPr>
          <w:b/>
          <w:bCs/>
          <w:lang w:val="en-US"/>
        </w:rPr>
      </w:pPr>
      <w:r w:rsidRPr="00AC0E06">
        <w:rPr>
          <w:b/>
          <w:bCs/>
          <w:lang w:val="en-US"/>
        </w:rPr>
        <w:t>Smoking</w:t>
      </w:r>
    </w:p>
    <w:p w:rsidR="00AC0E06" w:rsidRPr="00AD248C" w:rsidRDefault="00AC0E06" w:rsidP="00AC0E06">
      <w:r w:rsidRPr="00AD248C">
        <w:t>There is no evidence that smoking history significantly influences either baseline motor symptom severity or the rate of progression over time (Former vs Never baseline: 95% CI [-0.79,2.46]; Current vs Never baseline: 95% CI [-1.40,2.28]; Former progression rate:</w:t>
      </w:r>
      <w:r w:rsidR="00F917D1" w:rsidRPr="00F917D1">
        <w:rPr>
          <w:lang w:val="en-US"/>
        </w:rPr>
        <w:t xml:space="preserve"> </w:t>
      </w:r>
      <w:r w:rsidRPr="00AD248C">
        <w:t>95% CI [-0.29,0.76]; Current progression rate: 95% CI [-0.64, 0.55]).</w:t>
      </w:r>
    </w:p>
    <w:p w:rsidR="00AC0E06" w:rsidRDefault="00AC0E06" w:rsidP="00AC0E06">
      <w:pPr>
        <w:rPr>
          <w:b/>
          <w:bCs/>
        </w:rPr>
      </w:pPr>
      <w:r w:rsidRPr="00AD248C">
        <w:rPr>
          <w:b/>
          <w:bCs/>
        </w:rPr>
        <w:t>Heterogeneity</w:t>
      </w:r>
    </w:p>
    <w:p w:rsidR="00AC0E06" w:rsidRPr="00C97147" w:rsidRDefault="00AC0E06" w:rsidP="00AC0E06">
      <w:r w:rsidRPr="00C97147">
        <w:t xml:space="preserve">The between-patient standard deviation of random intercepts is 5.32, which tells us that patients differ substantially in their UPDRS levels at baseline. The between-patient standard deviation of random slopes is 1.82, which tells us that patients also differ in their rate of progression over time. </w:t>
      </w:r>
    </w:p>
    <w:p w:rsidR="00AC0E06" w:rsidRDefault="00AC0E06" w:rsidP="00AC0E06">
      <w:pPr>
        <w:rPr>
          <w:b/>
          <w:bCs/>
          <w:u w:val="single"/>
        </w:rPr>
      </w:pPr>
    </w:p>
    <w:p w:rsidR="00AC0E06" w:rsidRPr="00C97147" w:rsidRDefault="00AC0E06" w:rsidP="00AC0E06">
      <w:pPr>
        <w:rPr>
          <w:lang w:val="en-GB"/>
        </w:rPr>
      </w:pPr>
      <w:r w:rsidRPr="00C97147">
        <w:rPr>
          <w:b/>
          <w:bCs/>
          <w:u w:val="single"/>
          <w:lang w:val="en-GB"/>
        </w:rPr>
        <w:t>Conclusion</w:t>
      </w:r>
    </w:p>
    <w:p w:rsidR="00AC0E06" w:rsidRPr="00ED50AD" w:rsidRDefault="00AC0E06" w:rsidP="00AC0E06">
      <w:pPr>
        <w:rPr>
          <w:lang w:val="en-GB"/>
        </w:rPr>
      </w:pPr>
      <w:r w:rsidRPr="00C97147">
        <w:rPr>
          <w:lang w:val="en-GB"/>
        </w:rPr>
        <w:t>The current study showed that motor symptom severity in Parkinson’s Disease increases in a</w:t>
      </w:r>
      <w:r w:rsidR="00F917D1">
        <w:rPr>
          <w:lang w:val="en-GB"/>
        </w:rPr>
        <w:t>n</w:t>
      </w:r>
      <w:r w:rsidRPr="00C97147">
        <w:rPr>
          <w:lang w:val="en-GB"/>
        </w:rPr>
        <w:t xml:space="preserve"> </w:t>
      </w:r>
      <w:r w:rsidR="002A0176" w:rsidRPr="002A0176">
        <w:t>accelerating</w:t>
      </w:r>
      <w:r w:rsidRPr="00C97147">
        <w:rPr>
          <w:lang w:val="en-GB"/>
        </w:rPr>
        <w:t xml:space="preserve"> manner over a 7-year period. Age is a predictor for the severity levels.</w:t>
      </w:r>
      <w:r>
        <w:rPr>
          <w:lang w:val="en-GB"/>
        </w:rPr>
        <w:t xml:space="preserve"> The model showed that </w:t>
      </w:r>
      <w:r w:rsidRPr="00C97147">
        <w:t>UPDRS scores increase and accelerate over time.</w:t>
      </w:r>
      <w:r w:rsidRPr="00C97147">
        <w:rPr>
          <w:lang w:val="en-GB"/>
        </w:rPr>
        <w:t xml:space="preserve"> </w:t>
      </w:r>
      <w:r w:rsidRPr="00ED50AD">
        <w:rPr>
          <w:lang w:val="en-GB"/>
        </w:rPr>
        <w:t>The high inter-participant variability emphasi</w:t>
      </w:r>
      <w:r w:rsidR="00F917D1">
        <w:rPr>
          <w:lang w:val="en-GB"/>
        </w:rPr>
        <w:t>s</w:t>
      </w:r>
      <w:r w:rsidRPr="00ED50AD">
        <w:rPr>
          <w:lang w:val="en-GB"/>
        </w:rPr>
        <w:t>es the importance of an individual approach. Despite missing data, the analysis is robust due to the mixed-effects approach.</w:t>
      </w:r>
    </w:p>
    <w:p w:rsidR="00FE31DE" w:rsidRPr="00AC0E06" w:rsidRDefault="00FE31DE">
      <w:pPr>
        <w:rPr>
          <w:lang w:val="en-GB"/>
        </w:rPr>
      </w:pPr>
    </w:p>
    <w:sectPr w:rsidR="00FE31DE" w:rsidRPr="00AC0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DE"/>
    <w:rsid w:val="001C7848"/>
    <w:rsid w:val="002A0176"/>
    <w:rsid w:val="005720F7"/>
    <w:rsid w:val="005E1314"/>
    <w:rsid w:val="00AC0E06"/>
    <w:rsid w:val="00F917D1"/>
    <w:rsid w:val="00FE31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B69BB"/>
  <w15:chartTrackingRefBased/>
  <w15:docId w15:val="{57EBC20E-FBF0-004F-B141-26975E69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1DE"/>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Domning</dc:creator>
  <cp:keywords/>
  <dc:description/>
  <cp:lastModifiedBy>Clara Domning</cp:lastModifiedBy>
  <cp:revision>5</cp:revision>
  <dcterms:created xsi:type="dcterms:W3CDTF">2026-03-30T12:37:00Z</dcterms:created>
  <dcterms:modified xsi:type="dcterms:W3CDTF">2026-03-30T13:02:00Z</dcterms:modified>
</cp:coreProperties>
</file>