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B5ED" w14:textId="263E76EA" w:rsidR="00937CD7" w:rsidRDefault="000C4FFD" w:rsidP="00937CD7">
      <w:pPr>
        <w:spacing w:line="480" w:lineRule="auto"/>
      </w:pPr>
      <w:r>
        <w:t>ESM1:</w:t>
      </w:r>
      <w:r w:rsidR="00770AC4">
        <w:t xml:space="preserve"> </w:t>
      </w:r>
      <w:r w:rsidR="00937CD7">
        <w:t xml:space="preserve">Using </w:t>
      </w:r>
      <w:proofErr w:type="spellStart"/>
      <w:r w:rsidR="00937CD7">
        <w:t>faecal</w:t>
      </w:r>
      <w:proofErr w:type="spellEnd"/>
      <w:r w:rsidR="00937CD7">
        <w:t xml:space="preserve"> sample sperm to represent the unselected ejaculate population: Methods and validation.</w:t>
      </w:r>
    </w:p>
    <w:p w14:paraId="1E3C0E88" w14:textId="1FA1C299" w:rsidR="00937CD7" w:rsidRDefault="00937CD7" w:rsidP="00937CD7">
      <w:pPr>
        <w:spacing w:line="480" w:lineRule="auto"/>
      </w:pPr>
      <w:r>
        <w:t xml:space="preserve">Male birds in breeding condition continuously discharge sperm (passively) from the vas deferens into the cloaca and these are voided with </w:t>
      </w:r>
      <w:proofErr w:type="spellStart"/>
      <w:r>
        <w:t>faeces</w:t>
      </w:r>
      <w:proofErr w:type="spellEnd"/>
      <w:r>
        <w:t xml:space="preserve">. </w:t>
      </w:r>
      <w:proofErr w:type="spellStart"/>
      <w:r>
        <w:t>Immler</w:t>
      </w:r>
      <w:proofErr w:type="spellEnd"/>
      <w:r>
        <w:t xml:space="preserve"> &amp; Birkhead </w:t>
      </w:r>
      <w:r w:rsidR="000C4FFD">
        <w:t>[1]</w:t>
      </w:r>
      <w:r>
        <w:t xml:space="preserve"> showed that </w:t>
      </w:r>
      <w:proofErr w:type="spellStart"/>
      <w:r>
        <w:t>faecal</w:t>
      </w:r>
      <w:proofErr w:type="spellEnd"/>
      <w:r>
        <w:t xml:space="preserve"> samples provide a non-invasive method of obtaining sperm samples for morphological analysis, and sperm from </w:t>
      </w:r>
      <w:proofErr w:type="spellStart"/>
      <w:r>
        <w:t>faecal</w:t>
      </w:r>
      <w:proofErr w:type="spellEnd"/>
      <w:r>
        <w:t xml:space="preserve"> samples are morphologically indistinguishable from ejaculated sperm. Therefore, one day after pairing, a </w:t>
      </w:r>
      <w:proofErr w:type="spellStart"/>
      <w:r>
        <w:t>faecal</w:t>
      </w:r>
      <w:proofErr w:type="spellEnd"/>
      <w:r>
        <w:t xml:space="preserve"> sample was collected from each male as a non-selected sperm sample for morphological measurement.  We verified </w:t>
      </w:r>
      <w:proofErr w:type="spellStart"/>
      <w:r>
        <w:t>Immler</w:t>
      </w:r>
      <w:proofErr w:type="spellEnd"/>
      <w:r>
        <w:t xml:space="preserve"> &amp; </w:t>
      </w:r>
      <w:proofErr w:type="spellStart"/>
      <w:r>
        <w:t>Birkhead’s</w:t>
      </w:r>
      <w:proofErr w:type="spellEnd"/>
      <w:r>
        <w:t xml:space="preserve"> </w:t>
      </w:r>
      <w:r w:rsidR="000C4FFD">
        <w:t>[1]</w:t>
      </w:r>
      <w:r>
        <w:t xml:space="preserve"> results by comparing </w:t>
      </w:r>
      <w:proofErr w:type="spellStart"/>
      <w:r>
        <w:t>faecal</w:t>
      </w:r>
      <w:proofErr w:type="spellEnd"/>
      <w:r>
        <w:t xml:space="preserve"> sperm with those taken from the seminal </w:t>
      </w:r>
      <w:proofErr w:type="spellStart"/>
      <w:r>
        <w:t>glomera</w:t>
      </w:r>
      <w:proofErr w:type="spellEnd"/>
      <w:r>
        <w:t xml:space="preserve"> of 13 males that were used for a separate study, and </w:t>
      </w:r>
      <w:r w:rsidRPr="00876F9A">
        <w:t xml:space="preserve">found </w:t>
      </w:r>
      <w:r>
        <w:t>no significant</w:t>
      </w:r>
      <w:r w:rsidRPr="00876F9A">
        <w:t xml:space="preserve"> differences</w:t>
      </w:r>
      <w:r>
        <w:t xml:space="preserve"> i</w:t>
      </w:r>
      <w:r w:rsidRPr="00876F9A">
        <w:t xml:space="preserve">n morphological traits </w:t>
      </w:r>
      <w:r>
        <w:t xml:space="preserve">(head, </w:t>
      </w:r>
      <w:proofErr w:type="spellStart"/>
      <w:r>
        <w:t>midpiece</w:t>
      </w:r>
      <w:proofErr w:type="spellEnd"/>
      <w:r>
        <w:t xml:space="preserve"> and tail length) </w:t>
      </w:r>
      <w:r w:rsidRPr="00876F9A">
        <w:t xml:space="preserve">of sperm from </w:t>
      </w:r>
      <w:proofErr w:type="spellStart"/>
      <w:r w:rsidRPr="00876F9A">
        <w:t>faecal</w:t>
      </w:r>
      <w:proofErr w:type="spellEnd"/>
      <w:r w:rsidRPr="00876F9A">
        <w:t xml:space="preserve"> and seminal </w:t>
      </w:r>
      <w:proofErr w:type="spellStart"/>
      <w:r w:rsidRPr="00876F9A">
        <w:t>glomera</w:t>
      </w:r>
      <w:proofErr w:type="spellEnd"/>
      <w:r w:rsidRPr="00876F9A">
        <w:t xml:space="preserve"> samples, both in terms of absolute measures and variation (Table </w:t>
      </w:r>
      <w:r>
        <w:t>S</w:t>
      </w:r>
      <w:r w:rsidRPr="00876F9A">
        <w:t xml:space="preserve">1). </w:t>
      </w:r>
      <w:r>
        <w:t xml:space="preserve">We therefore assumed </w:t>
      </w:r>
      <w:proofErr w:type="spellStart"/>
      <w:r>
        <w:t>faecal</w:t>
      </w:r>
      <w:proofErr w:type="spellEnd"/>
      <w:r>
        <w:t xml:space="preserve"> sperm to be representative of the unselected ejaculate sperm population.</w:t>
      </w:r>
    </w:p>
    <w:p w14:paraId="01062B30" w14:textId="15AEC830" w:rsidR="00937CD7" w:rsidRDefault="00937CD7" w:rsidP="00937CD7">
      <w:pPr>
        <w:spacing w:line="480" w:lineRule="auto"/>
      </w:pPr>
      <w:r>
        <w:t xml:space="preserve">To avoid handling-related stress, </w:t>
      </w:r>
      <w:proofErr w:type="spellStart"/>
      <w:r>
        <w:t>faecal</w:t>
      </w:r>
      <w:proofErr w:type="spellEnd"/>
      <w:r>
        <w:t xml:space="preserve"> samples were collected from males by inserting a non-absorbent sheet at the bottom of each cage, which was removed once the male had defecated. The sample was stored in 5% formalin before analysis. Ten morphologically normal sperm per male were photographed at 400x magnification using </w:t>
      </w:r>
      <w:proofErr w:type="spellStart"/>
      <w:r>
        <w:t>darkfield</w:t>
      </w:r>
      <w:proofErr w:type="spellEnd"/>
      <w:r>
        <w:t xml:space="preserve"> microscopy (Leica DMBL with an Infinity 3 camera, </w:t>
      </w:r>
      <w:proofErr w:type="spellStart"/>
      <w:r>
        <w:t>Luminera</w:t>
      </w:r>
      <w:proofErr w:type="spellEnd"/>
      <w:r>
        <w:t xml:space="preserve"> Corporation). Morphological traits –head, </w:t>
      </w:r>
      <w:proofErr w:type="spellStart"/>
      <w:r>
        <w:t>midpiece</w:t>
      </w:r>
      <w:proofErr w:type="spellEnd"/>
      <w:r>
        <w:t xml:space="preserve"> and tail length </w:t>
      </w:r>
      <w:r w:rsidR="000C4FFD">
        <w:t>[2]</w:t>
      </w:r>
      <w:r>
        <w:t xml:space="preserve"> – were measured to 0.01µm using </w:t>
      </w:r>
      <w:proofErr w:type="spellStart"/>
      <w:r>
        <w:t>ImageJ</w:t>
      </w:r>
      <w:proofErr w:type="spellEnd"/>
      <w:r w:rsidR="000C4FFD">
        <w:t xml:space="preserve"> [3]</w:t>
      </w:r>
      <w:r>
        <w:t xml:space="preserve">. </w:t>
      </w:r>
      <w:proofErr w:type="gramStart"/>
      <w:r>
        <w:t>All measurements were taken by the same person</w:t>
      </w:r>
      <w:proofErr w:type="gramEnd"/>
      <w:r>
        <w:t xml:space="preserve"> (NH) with high repeatability (r &gt; 0.96 for all traits).</w:t>
      </w:r>
    </w:p>
    <w:p w14:paraId="65011BDA" w14:textId="7FE4616B" w:rsidR="000C4FFD" w:rsidRDefault="000C4FFD" w:rsidP="000C4FFD">
      <w:r>
        <w:lastRenderedPageBreak/>
        <w:t xml:space="preserve">ESM2: </w:t>
      </w:r>
      <w:r>
        <w:t xml:space="preserve">Table S1. Comparisons of morphological traits of sperm from </w:t>
      </w:r>
      <w:proofErr w:type="spellStart"/>
      <w:r>
        <w:t>faecal</w:t>
      </w:r>
      <w:proofErr w:type="spellEnd"/>
      <w:r>
        <w:t xml:space="preserve"> and </w:t>
      </w:r>
      <w:bookmarkStart w:id="0" w:name="_GoBack"/>
      <w:bookmarkEnd w:id="0"/>
      <w:r>
        <w:t xml:space="preserve">seminal </w:t>
      </w:r>
      <w:proofErr w:type="spellStart"/>
      <w:r>
        <w:t>glomera</w:t>
      </w:r>
      <w:proofErr w:type="spellEnd"/>
      <w:r>
        <w:t xml:space="preserve"> samples</w:t>
      </w:r>
    </w:p>
    <w:tbl>
      <w:tblPr>
        <w:tblStyle w:val="TableGrid"/>
        <w:tblpPr w:leftFromText="180" w:rightFromText="180" w:vertAnchor="text" w:horzAnchor="page" w:tblpX="1189" w:tblpY="319"/>
        <w:tblW w:w="103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2442"/>
        <w:gridCol w:w="3543"/>
        <w:gridCol w:w="851"/>
        <w:gridCol w:w="850"/>
      </w:tblGrid>
      <w:tr w:rsidR="000C4FFD" w14:paraId="1BFF3EED" w14:textId="77777777" w:rsidTr="000C4FFD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</w:tcPr>
          <w:p w14:paraId="5C750193" w14:textId="77777777" w:rsidR="000C4FFD" w:rsidRDefault="000C4FFD" w:rsidP="000C4FFD">
            <w:proofErr w:type="gramStart"/>
            <w:r>
              <w:t>sperm</w:t>
            </w:r>
            <w:proofErr w:type="gramEnd"/>
            <w:r>
              <w:t xml:space="preserve"> morphological trait</w:t>
            </w:r>
          </w:p>
        </w:tc>
        <w:tc>
          <w:tcPr>
            <w:tcW w:w="2442" w:type="dxa"/>
            <w:tcBorders>
              <w:top w:val="single" w:sz="4" w:space="0" w:color="auto"/>
              <w:bottom w:val="single" w:sz="4" w:space="0" w:color="auto"/>
            </w:tcBorders>
          </w:tcPr>
          <w:p w14:paraId="0FCA4FA1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F5D8431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1A52831" w14:textId="77777777" w:rsidR="000C4FFD" w:rsidRDefault="000C4FFD" w:rsidP="000C4FFD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80391DA" w14:textId="77777777" w:rsidR="000C4FFD" w:rsidRDefault="000C4FFD" w:rsidP="000C4FFD">
            <w:pPr>
              <w:jc w:val="right"/>
            </w:pPr>
          </w:p>
        </w:tc>
      </w:tr>
      <w:tr w:rsidR="000C4FFD" w14:paraId="1D0455B2" w14:textId="77777777" w:rsidTr="000C4FFD">
        <w:tc>
          <w:tcPr>
            <w:tcW w:w="2628" w:type="dxa"/>
            <w:tcBorders>
              <w:top w:val="single" w:sz="4" w:space="0" w:color="auto"/>
              <w:bottom w:val="nil"/>
            </w:tcBorders>
          </w:tcPr>
          <w:p w14:paraId="2A1DBEB3" w14:textId="77777777" w:rsidR="000C4FFD" w:rsidRPr="0028411C" w:rsidRDefault="000C4FFD" w:rsidP="000C4FFD">
            <w:pPr>
              <w:rPr>
                <w:i/>
              </w:rPr>
            </w:pPr>
          </w:p>
        </w:tc>
        <w:tc>
          <w:tcPr>
            <w:tcW w:w="2442" w:type="dxa"/>
            <w:tcBorders>
              <w:top w:val="single" w:sz="4" w:space="0" w:color="auto"/>
              <w:bottom w:val="nil"/>
            </w:tcBorders>
          </w:tcPr>
          <w:p w14:paraId="5229A022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  <w:tcBorders>
              <w:top w:val="single" w:sz="4" w:space="0" w:color="auto"/>
              <w:bottom w:val="nil"/>
            </w:tcBorders>
          </w:tcPr>
          <w:p w14:paraId="21F120A7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3A7E7A83" w14:textId="77777777" w:rsidR="000C4FFD" w:rsidRDefault="000C4FFD" w:rsidP="000C4FFD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212ED73F" w14:textId="77777777" w:rsidR="000C4FFD" w:rsidRDefault="000C4FFD" w:rsidP="000C4FFD">
            <w:pPr>
              <w:jc w:val="right"/>
            </w:pPr>
          </w:p>
        </w:tc>
      </w:tr>
      <w:tr w:rsidR="000C4FFD" w14:paraId="4231765B" w14:textId="77777777" w:rsidTr="000C4FFD">
        <w:tc>
          <w:tcPr>
            <w:tcW w:w="2628" w:type="dxa"/>
            <w:tcBorders>
              <w:top w:val="nil"/>
            </w:tcBorders>
          </w:tcPr>
          <w:p w14:paraId="4A583DEB" w14:textId="77777777" w:rsidR="000C4FFD" w:rsidRPr="0028411C" w:rsidRDefault="000C4FFD" w:rsidP="000C4FFD">
            <w:pPr>
              <w:rPr>
                <w:i/>
              </w:rPr>
            </w:pPr>
            <w:proofErr w:type="gramStart"/>
            <w:r w:rsidRPr="0028411C">
              <w:rPr>
                <w:i/>
              </w:rPr>
              <w:t>absolute</w:t>
            </w:r>
            <w:proofErr w:type="gramEnd"/>
            <w:r w:rsidRPr="0028411C">
              <w:rPr>
                <w:i/>
              </w:rPr>
              <w:t xml:space="preserve"> measures</w:t>
            </w:r>
            <w:r w:rsidRPr="0028411C">
              <w:rPr>
                <w:i/>
                <w:vertAlign w:val="superscript"/>
              </w:rPr>
              <w:t>1</w:t>
            </w:r>
          </w:p>
        </w:tc>
        <w:tc>
          <w:tcPr>
            <w:tcW w:w="2442" w:type="dxa"/>
            <w:tcBorders>
              <w:top w:val="nil"/>
            </w:tcBorders>
          </w:tcPr>
          <w:p w14:paraId="364C3950" w14:textId="77777777" w:rsidR="000C4FFD" w:rsidRDefault="000C4FFD" w:rsidP="000C4FFD">
            <w:pPr>
              <w:jc w:val="right"/>
            </w:pPr>
            <w:proofErr w:type="gramStart"/>
            <w:r>
              <w:t>faecal</w:t>
            </w:r>
            <w:proofErr w:type="gramEnd"/>
            <w:r>
              <w:t xml:space="preserve"> mean </w:t>
            </w:r>
            <w:r w:rsidRPr="00A40470">
              <w:t>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</w:t>
            </w:r>
            <w:proofErr w:type="spellStart"/>
            <w:r>
              <w:rPr>
                <w:rFonts w:eastAsia="ＭＳ ゴシック"/>
                <w:color w:val="000000"/>
              </w:rPr>
              <w:t>s.d</w:t>
            </w:r>
            <w:r w:rsidRPr="00A40470">
              <w:rPr>
                <w:rFonts w:eastAsia="ＭＳ ゴシック"/>
                <w:color w:val="000000"/>
              </w:rPr>
              <w:t>.</w:t>
            </w:r>
            <w:proofErr w:type="spellEnd"/>
            <w:r w:rsidRPr="00A40470">
              <w:rPr>
                <w:rFonts w:eastAsia="ＭＳ ゴシック"/>
                <w:color w:val="000000"/>
              </w:rPr>
              <w:t>)</w:t>
            </w:r>
            <w:r>
              <w:rPr>
                <w:rFonts w:eastAsia="ＭＳ ゴシック"/>
                <w:color w:val="000000"/>
                <w:vertAlign w:val="superscript"/>
              </w:rPr>
              <w:t>3,4</w:t>
            </w:r>
          </w:p>
        </w:tc>
        <w:tc>
          <w:tcPr>
            <w:tcW w:w="3543" w:type="dxa"/>
            <w:tcBorders>
              <w:top w:val="nil"/>
            </w:tcBorders>
          </w:tcPr>
          <w:p w14:paraId="253F7CD8" w14:textId="77777777" w:rsidR="000C4FFD" w:rsidRDefault="000C4FFD" w:rsidP="000C4FFD">
            <w:pPr>
              <w:jc w:val="right"/>
            </w:pPr>
            <w:proofErr w:type="gramStart"/>
            <w:r>
              <w:t>seminal</w:t>
            </w:r>
            <w:proofErr w:type="gramEnd"/>
            <w:r>
              <w:t xml:space="preserve"> </w:t>
            </w:r>
            <w:proofErr w:type="spellStart"/>
            <w:r>
              <w:t>glomera</w:t>
            </w:r>
            <w:proofErr w:type="spellEnd"/>
            <w:r>
              <w:t xml:space="preserve"> mean </w:t>
            </w:r>
            <w:r w:rsidRPr="00A40470">
              <w:t>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</w:t>
            </w:r>
            <w:proofErr w:type="spellStart"/>
            <w:r>
              <w:rPr>
                <w:rFonts w:eastAsia="ＭＳ ゴシック"/>
                <w:color w:val="000000"/>
              </w:rPr>
              <w:t>s.d</w:t>
            </w:r>
            <w:r w:rsidRPr="00A40470">
              <w:rPr>
                <w:rFonts w:eastAsia="ＭＳ ゴシック"/>
                <w:color w:val="000000"/>
              </w:rPr>
              <w:t>.</w:t>
            </w:r>
            <w:proofErr w:type="spellEnd"/>
            <w:r w:rsidRPr="00A40470">
              <w:rPr>
                <w:rFonts w:eastAsia="ＭＳ ゴシック"/>
                <w:color w:val="000000"/>
              </w:rPr>
              <w:t>)</w:t>
            </w:r>
            <w:r>
              <w:rPr>
                <w:rFonts w:eastAsia="ＭＳ ゴシック"/>
                <w:color w:val="000000"/>
                <w:vertAlign w:val="superscript"/>
              </w:rPr>
              <w:t>3,4</w:t>
            </w:r>
          </w:p>
        </w:tc>
        <w:tc>
          <w:tcPr>
            <w:tcW w:w="851" w:type="dxa"/>
            <w:tcBorders>
              <w:top w:val="nil"/>
            </w:tcBorders>
          </w:tcPr>
          <w:p w14:paraId="0FA52896" w14:textId="77777777" w:rsidR="000C4FFD" w:rsidRDefault="000C4FFD" w:rsidP="000C4FFD">
            <w:pPr>
              <w:jc w:val="right"/>
            </w:pPr>
            <w:proofErr w:type="gramStart"/>
            <w:r>
              <w:t>t</w:t>
            </w:r>
            <w:proofErr w:type="gramEnd"/>
          </w:p>
        </w:tc>
        <w:tc>
          <w:tcPr>
            <w:tcW w:w="850" w:type="dxa"/>
            <w:tcBorders>
              <w:top w:val="nil"/>
            </w:tcBorders>
          </w:tcPr>
          <w:p w14:paraId="4E12CC39" w14:textId="77777777" w:rsidR="000C4FFD" w:rsidRDefault="000C4FFD" w:rsidP="000C4FFD">
            <w:pPr>
              <w:jc w:val="right"/>
            </w:pPr>
            <w:proofErr w:type="gramStart"/>
            <w:r>
              <w:t>p</w:t>
            </w:r>
            <w:proofErr w:type="gramEnd"/>
          </w:p>
        </w:tc>
      </w:tr>
      <w:tr w:rsidR="000C4FFD" w14:paraId="541C911D" w14:textId="77777777" w:rsidTr="000C4FFD">
        <w:tc>
          <w:tcPr>
            <w:tcW w:w="2628" w:type="dxa"/>
          </w:tcPr>
          <w:p w14:paraId="7E965E1E" w14:textId="77777777" w:rsidR="000C4FFD" w:rsidRDefault="000C4FFD" w:rsidP="000C4FFD">
            <w:pPr>
              <w:ind w:left="720"/>
            </w:pPr>
          </w:p>
        </w:tc>
        <w:tc>
          <w:tcPr>
            <w:tcW w:w="2442" w:type="dxa"/>
          </w:tcPr>
          <w:p w14:paraId="69A595AA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</w:tcPr>
          <w:p w14:paraId="106B82D6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</w:tcPr>
          <w:p w14:paraId="07870AB0" w14:textId="77777777" w:rsidR="000C4FFD" w:rsidRDefault="000C4FFD" w:rsidP="000C4FFD">
            <w:pPr>
              <w:jc w:val="right"/>
            </w:pPr>
          </w:p>
        </w:tc>
        <w:tc>
          <w:tcPr>
            <w:tcW w:w="850" w:type="dxa"/>
          </w:tcPr>
          <w:p w14:paraId="62B1A53A" w14:textId="77777777" w:rsidR="000C4FFD" w:rsidRDefault="000C4FFD" w:rsidP="000C4FFD">
            <w:pPr>
              <w:jc w:val="right"/>
            </w:pPr>
          </w:p>
        </w:tc>
      </w:tr>
      <w:tr w:rsidR="000C4FFD" w14:paraId="234B9D74" w14:textId="77777777" w:rsidTr="000C4FFD">
        <w:tc>
          <w:tcPr>
            <w:tcW w:w="2628" w:type="dxa"/>
          </w:tcPr>
          <w:p w14:paraId="66F7E6B7" w14:textId="77777777" w:rsidR="000C4FFD" w:rsidRPr="0028411C" w:rsidRDefault="000C4FFD" w:rsidP="000C4FFD">
            <w:pPr>
              <w:ind w:left="720"/>
              <w:rPr>
                <w:i/>
                <w:vertAlign w:val="superscript"/>
              </w:rPr>
            </w:pPr>
            <w:proofErr w:type="gramStart"/>
            <w:r>
              <w:t>head</w:t>
            </w:r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4F5AEADF" w14:textId="77777777" w:rsidR="000C4FFD" w:rsidRDefault="000C4FFD" w:rsidP="000C4FFD">
            <w:pPr>
              <w:jc w:val="right"/>
            </w:pPr>
            <w:r>
              <w:t>10.19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0.79)</w:t>
            </w:r>
          </w:p>
        </w:tc>
        <w:tc>
          <w:tcPr>
            <w:tcW w:w="3543" w:type="dxa"/>
          </w:tcPr>
          <w:p w14:paraId="6DF15888" w14:textId="77777777" w:rsidR="000C4FFD" w:rsidRDefault="000C4FFD" w:rsidP="000C4FFD">
            <w:pPr>
              <w:jc w:val="right"/>
            </w:pPr>
            <w:r>
              <w:t>10.27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0.79)</w:t>
            </w:r>
          </w:p>
        </w:tc>
        <w:tc>
          <w:tcPr>
            <w:tcW w:w="851" w:type="dxa"/>
          </w:tcPr>
          <w:p w14:paraId="5EDE4C58" w14:textId="77777777" w:rsidR="000C4FFD" w:rsidRDefault="000C4FFD" w:rsidP="000C4FFD">
            <w:pPr>
              <w:jc w:val="right"/>
            </w:pPr>
            <w:r>
              <w:t>0.62</w:t>
            </w:r>
          </w:p>
        </w:tc>
        <w:tc>
          <w:tcPr>
            <w:tcW w:w="850" w:type="dxa"/>
          </w:tcPr>
          <w:p w14:paraId="1123BE63" w14:textId="77777777" w:rsidR="000C4FFD" w:rsidRDefault="000C4FFD" w:rsidP="000C4FFD">
            <w:pPr>
              <w:jc w:val="right"/>
            </w:pPr>
            <w:r>
              <w:t>0.533</w:t>
            </w:r>
          </w:p>
        </w:tc>
      </w:tr>
      <w:tr w:rsidR="000C4FFD" w14:paraId="7CA2F6FA" w14:textId="77777777" w:rsidTr="000C4FFD">
        <w:tc>
          <w:tcPr>
            <w:tcW w:w="2628" w:type="dxa"/>
          </w:tcPr>
          <w:p w14:paraId="26E43B8A" w14:textId="77777777" w:rsidR="000C4FFD" w:rsidRDefault="000C4FFD" w:rsidP="000C4FFD">
            <w:pPr>
              <w:ind w:left="720"/>
            </w:pPr>
            <w:proofErr w:type="spellStart"/>
            <w:proofErr w:type="gramStart"/>
            <w:r>
              <w:t>midpiece</w:t>
            </w:r>
            <w:proofErr w:type="spellEnd"/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1CCCF327" w14:textId="77777777" w:rsidR="000C4FFD" w:rsidRDefault="000C4FFD" w:rsidP="000C4FFD">
            <w:pPr>
              <w:jc w:val="right"/>
            </w:pPr>
            <w:r>
              <w:t>30.59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4.69)</w:t>
            </w:r>
          </w:p>
        </w:tc>
        <w:tc>
          <w:tcPr>
            <w:tcW w:w="3543" w:type="dxa"/>
          </w:tcPr>
          <w:p w14:paraId="7D98E6B9" w14:textId="77777777" w:rsidR="000C4FFD" w:rsidRPr="006673D3" w:rsidRDefault="000C4FFD" w:rsidP="000C4FFD">
            <w:pPr>
              <w:jc w:val="right"/>
              <w:rPr>
                <w:rFonts w:eastAsia="ＭＳ ゴシック"/>
                <w:color w:val="000000"/>
              </w:rPr>
            </w:pPr>
            <w:r>
              <w:t>30.58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4.65)</w:t>
            </w:r>
          </w:p>
        </w:tc>
        <w:tc>
          <w:tcPr>
            <w:tcW w:w="851" w:type="dxa"/>
          </w:tcPr>
          <w:p w14:paraId="6DD832F4" w14:textId="77777777" w:rsidR="000C4FFD" w:rsidRDefault="000C4FFD" w:rsidP="000C4FFD">
            <w:pPr>
              <w:jc w:val="right"/>
            </w:pPr>
            <w:r>
              <w:t>-0.01</w:t>
            </w:r>
          </w:p>
        </w:tc>
        <w:tc>
          <w:tcPr>
            <w:tcW w:w="850" w:type="dxa"/>
          </w:tcPr>
          <w:p w14:paraId="1A279C46" w14:textId="77777777" w:rsidR="000C4FFD" w:rsidRDefault="000C4FFD" w:rsidP="000C4FFD">
            <w:pPr>
              <w:jc w:val="right"/>
            </w:pPr>
            <w:r>
              <w:t>0.989</w:t>
            </w:r>
          </w:p>
        </w:tc>
      </w:tr>
      <w:tr w:rsidR="000C4FFD" w14:paraId="2D38DF43" w14:textId="77777777" w:rsidTr="000C4FFD">
        <w:tc>
          <w:tcPr>
            <w:tcW w:w="2628" w:type="dxa"/>
          </w:tcPr>
          <w:p w14:paraId="12E9D4F3" w14:textId="77777777" w:rsidR="000C4FFD" w:rsidRDefault="000C4FFD" w:rsidP="000C4FFD">
            <w:pPr>
              <w:ind w:left="720"/>
            </w:pPr>
            <w:proofErr w:type="gramStart"/>
            <w:r>
              <w:t>tail</w:t>
            </w:r>
            <w:proofErr w:type="gramEnd"/>
            <w:r>
              <w:t xml:space="preserve"> length </w:t>
            </w:r>
          </w:p>
        </w:tc>
        <w:tc>
          <w:tcPr>
            <w:tcW w:w="2442" w:type="dxa"/>
          </w:tcPr>
          <w:p w14:paraId="2F9B3922" w14:textId="77777777" w:rsidR="000C4FFD" w:rsidRDefault="000C4FFD" w:rsidP="000C4FFD">
            <w:pPr>
              <w:jc w:val="right"/>
            </w:pPr>
            <w:r>
              <w:t>20.26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6.19)</w:t>
            </w:r>
          </w:p>
        </w:tc>
        <w:tc>
          <w:tcPr>
            <w:tcW w:w="3543" w:type="dxa"/>
          </w:tcPr>
          <w:p w14:paraId="70EB926F" w14:textId="77777777" w:rsidR="000C4FFD" w:rsidRDefault="000C4FFD" w:rsidP="000C4FFD">
            <w:pPr>
              <w:jc w:val="right"/>
            </w:pPr>
            <w:r>
              <w:t>20.15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6.15)</w:t>
            </w:r>
          </w:p>
        </w:tc>
        <w:tc>
          <w:tcPr>
            <w:tcW w:w="851" w:type="dxa"/>
          </w:tcPr>
          <w:p w14:paraId="185D984C" w14:textId="77777777" w:rsidR="000C4FFD" w:rsidRDefault="000C4FFD" w:rsidP="000C4FFD">
            <w:pPr>
              <w:jc w:val="right"/>
            </w:pPr>
            <w:r>
              <w:t>-0.18</w:t>
            </w:r>
          </w:p>
        </w:tc>
        <w:tc>
          <w:tcPr>
            <w:tcW w:w="850" w:type="dxa"/>
          </w:tcPr>
          <w:p w14:paraId="59A86BB5" w14:textId="77777777" w:rsidR="000C4FFD" w:rsidRDefault="000C4FFD" w:rsidP="000C4FFD">
            <w:pPr>
              <w:jc w:val="right"/>
            </w:pPr>
            <w:r>
              <w:t>0.857</w:t>
            </w:r>
          </w:p>
        </w:tc>
      </w:tr>
      <w:tr w:rsidR="000C4FFD" w14:paraId="3E28DCFC" w14:textId="77777777" w:rsidTr="000C4FFD">
        <w:tc>
          <w:tcPr>
            <w:tcW w:w="2628" w:type="dxa"/>
          </w:tcPr>
          <w:p w14:paraId="79D9E561" w14:textId="77777777" w:rsidR="000C4FFD" w:rsidRDefault="000C4FFD" w:rsidP="000C4FFD">
            <w:pPr>
              <w:ind w:left="720"/>
            </w:pPr>
            <w:proofErr w:type="gramStart"/>
            <w:r>
              <w:t>total</w:t>
            </w:r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3741A47D" w14:textId="77777777" w:rsidR="000C4FFD" w:rsidRDefault="000C4FFD" w:rsidP="000C4FFD">
            <w:pPr>
              <w:jc w:val="right"/>
            </w:pPr>
            <w:r>
              <w:t>61.04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6.19)</w:t>
            </w:r>
          </w:p>
        </w:tc>
        <w:tc>
          <w:tcPr>
            <w:tcW w:w="3543" w:type="dxa"/>
          </w:tcPr>
          <w:p w14:paraId="6C5018C3" w14:textId="77777777" w:rsidR="000C4FFD" w:rsidRDefault="000C4FFD" w:rsidP="000C4FFD">
            <w:pPr>
              <w:jc w:val="right"/>
            </w:pPr>
            <w:r>
              <w:t>61.00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6.19)</w:t>
            </w:r>
          </w:p>
        </w:tc>
        <w:tc>
          <w:tcPr>
            <w:tcW w:w="851" w:type="dxa"/>
          </w:tcPr>
          <w:p w14:paraId="57D2EA5F" w14:textId="77777777" w:rsidR="000C4FFD" w:rsidRDefault="000C4FFD" w:rsidP="000C4FFD">
            <w:pPr>
              <w:jc w:val="right"/>
            </w:pPr>
            <w:r>
              <w:t>-0.07</w:t>
            </w:r>
          </w:p>
        </w:tc>
        <w:tc>
          <w:tcPr>
            <w:tcW w:w="850" w:type="dxa"/>
          </w:tcPr>
          <w:p w14:paraId="51763054" w14:textId="77777777" w:rsidR="000C4FFD" w:rsidRDefault="000C4FFD" w:rsidP="000C4FFD">
            <w:pPr>
              <w:jc w:val="right"/>
            </w:pPr>
            <w:r>
              <w:t>0.944</w:t>
            </w:r>
          </w:p>
        </w:tc>
      </w:tr>
      <w:tr w:rsidR="000C4FFD" w14:paraId="64BC1A2E" w14:textId="77777777" w:rsidTr="000C4FFD">
        <w:tc>
          <w:tcPr>
            <w:tcW w:w="2628" w:type="dxa"/>
          </w:tcPr>
          <w:p w14:paraId="40B27A8D" w14:textId="77777777" w:rsidR="000C4FFD" w:rsidRDefault="000C4FFD" w:rsidP="000C4FFD">
            <w:pPr>
              <w:ind w:left="720"/>
            </w:pPr>
          </w:p>
        </w:tc>
        <w:tc>
          <w:tcPr>
            <w:tcW w:w="2442" w:type="dxa"/>
          </w:tcPr>
          <w:p w14:paraId="1A14463F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</w:tcPr>
          <w:p w14:paraId="16D79C41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</w:tcPr>
          <w:p w14:paraId="68923A62" w14:textId="77777777" w:rsidR="000C4FFD" w:rsidRDefault="000C4FFD" w:rsidP="000C4FFD">
            <w:pPr>
              <w:jc w:val="right"/>
            </w:pPr>
          </w:p>
        </w:tc>
        <w:tc>
          <w:tcPr>
            <w:tcW w:w="850" w:type="dxa"/>
          </w:tcPr>
          <w:p w14:paraId="4CD6BA76" w14:textId="77777777" w:rsidR="000C4FFD" w:rsidRDefault="000C4FFD" w:rsidP="000C4FFD">
            <w:pPr>
              <w:jc w:val="right"/>
            </w:pPr>
          </w:p>
        </w:tc>
      </w:tr>
      <w:tr w:rsidR="000C4FFD" w14:paraId="165C72D8" w14:textId="77777777" w:rsidTr="000C4FFD">
        <w:tc>
          <w:tcPr>
            <w:tcW w:w="2628" w:type="dxa"/>
          </w:tcPr>
          <w:p w14:paraId="1F454455" w14:textId="77777777" w:rsidR="000C4FFD" w:rsidRPr="0028411C" w:rsidRDefault="000C4FFD" w:rsidP="000C4FFD">
            <w:pPr>
              <w:rPr>
                <w:i/>
              </w:rPr>
            </w:pPr>
            <w:proofErr w:type="gramStart"/>
            <w:r w:rsidRPr="0028411C">
              <w:rPr>
                <w:i/>
              </w:rPr>
              <w:t>coefficients</w:t>
            </w:r>
            <w:proofErr w:type="gramEnd"/>
            <w:r w:rsidRPr="0028411C">
              <w:rPr>
                <w:i/>
              </w:rPr>
              <w:t xml:space="preserve"> of variat</w:t>
            </w:r>
            <w:r>
              <w:rPr>
                <w:i/>
              </w:rPr>
              <w:t>i</w:t>
            </w:r>
            <w:r w:rsidRPr="0028411C">
              <w:rPr>
                <w:i/>
              </w:rPr>
              <w:t>on</w:t>
            </w:r>
            <w:r w:rsidRPr="0028411C">
              <w:rPr>
                <w:i/>
                <w:vertAlign w:val="superscript"/>
              </w:rPr>
              <w:t>2</w:t>
            </w:r>
          </w:p>
        </w:tc>
        <w:tc>
          <w:tcPr>
            <w:tcW w:w="2442" w:type="dxa"/>
          </w:tcPr>
          <w:p w14:paraId="3F5B40C1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</w:tcPr>
          <w:p w14:paraId="2ACFF7B8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</w:tcPr>
          <w:p w14:paraId="075F0BE3" w14:textId="77777777" w:rsidR="000C4FFD" w:rsidRDefault="000C4FFD" w:rsidP="000C4FFD">
            <w:pPr>
              <w:jc w:val="right"/>
            </w:pPr>
            <w:r>
              <w:t>V</w:t>
            </w:r>
          </w:p>
        </w:tc>
        <w:tc>
          <w:tcPr>
            <w:tcW w:w="850" w:type="dxa"/>
          </w:tcPr>
          <w:p w14:paraId="6457C639" w14:textId="77777777" w:rsidR="000C4FFD" w:rsidRDefault="000C4FFD" w:rsidP="000C4FFD">
            <w:pPr>
              <w:jc w:val="right"/>
            </w:pPr>
            <w:proofErr w:type="gramStart"/>
            <w:r>
              <w:t>p</w:t>
            </w:r>
            <w:proofErr w:type="gramEnd"/>
          </w:p>
        </w:tc>
      </w:tr>
      <w:tr w:rsidR="000C4FFD" w14:paraId="08945A7E" w14:textId="77777777" w:rsidTr="000C4FFD">
        <w:tc>
          <w:tcPr>
            <w:tcW w:w="2628" w:type="dxa"/>
          </w:tcPr>
          <w:p w14:paraId="73AE7ECA" w14:textId="77777777" w:rsidR="000C4FFD" w:rsidRPr="0028411C" w:rsidRDefault="000C4FFD" w:rsidP="000C4FFD">
            <w:pPr>
              <w:ind w:left="720"/>
              <w:rPr>
                <w:i/>
                <w:vertAlign w:val="superscript"/>
              </w:rPr>
            </w:pPr>
            <w:proofErr w:type="gramStart"/>
            <w:r>
              <w:t>head</w:t>
            </w:r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0842FFAD" w14:textId="77777777" w:rsidR="000C4FFD" w:rsidRDefault="000C4FFD" w:rsidP="000C4FFD">
            <w:pPr>
              <w:jc w:val="right"/>
            </w:pPr>
            <w:r>
              <w:t>0.064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0.034)</w:t>
            </w:r>
          </w:p>
        </w:tc>
        <w:tc>
          <w:tcPr>
            <w:tcW w:w="3543" w:type="dxa"/>
          </w:tcPr>
          <w:p w14:paraId="0D573FBB" w14:textId="77777777" w:rsidR="000C4FFD" w:rsidRDefault="000C4FFD" w:rsidP="000C4FFD">
            <w:pPr>
              <w:jc w:val="right"/>
            </w:pPr>
            <w:r>
              <w:t>0.062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0.037)</w:t>
            </w:r>
          </w:p>
        </w:tc>
        <w:tc>
          <w:tcPr>
            <w:tcW w:w="851" w:type="dxa"/>
          </w:tcPr>
          <w:p w14:paraId="67349F08" w14:textId="77777777" w:rsidR="000C4FFD" w:rsidRDefault="000C4FFD" w:rsidP="000C4FFD">
            <w:pPr>
              <w:jc w:val="right"/>
            </w:pPr>
            <w:r>
              <w:t>49</w:t>
            </w:r>
          </w:p>
        </w:tc>
        <w:tc>
          <w:tcPr>
            <w:tcW w:w="850" w:type="dxa"/>
          </w:tcPr>
          <w:p w14:paraId="68C5D54A" w14:textId="77777777" w:rsidR="000C4FFD" w:rsidRDefault="000C4FFD" w:rsidP="000C4FFD">
            <w:pPr>
              <w:jc w:val="right"/>
            </w:pPr>
            <w:r>
              <w:t>0.839</w:t>
            </w:r>
          </w:p>
        </w:tc>
      </w:tr>
      <w:tr w:rsidR="000C4FFD" w14:paraId="264E2563" w14:textId="77777777" w:rsidTr="000C4FFD">
        <w:tc>
          <w:tcPr>
            <w:tcW w:w="2628" w:type="dxa"/>
          </w:tcPr>
          <w:p w14:paraId="3E6048C0" w14:textId="77777777" w:rsidR="000C4FFD" w:rsidRDefault="000C4FFD" w:rsidP="000C4FFD">
            <w:pPr>
              <w:ind w:left="720"/>
            </w:pPr>
            <w:proofErr w:type="spellStart"/>
            <w:proofErr w:type="gramStart"/>
            <w:r>
              <w:t>midpiece</w:t>
            </w:r>
            <w:proofErr w:type="spellEnd"/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0ED3B157" w14:textId="77777777" w:rsidR="000C4FFD" w:rsidRDefault="000C4FFD" w:rsidP="000C4FFD">
            <w:pPr>
              <w:jc w:val="right"/>
            </w:pPr>
            <w:r>
              <w:t>0.091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0.043)</w:t>
            </w:r>
          </w:p>
        </w:tc>
        <w:tc>
          <w:tcPr>
            <w:tcW w:w="3543" w:type="dxa"/>
          </w:tcPr>
          <w:p w14:paraId="6A4703EF" w14:textId="77777777" w:rsidR="000C4FFD" w:rsidRDefault="000C4FFD" w:rsidP="000C4FFD">
            <w:pPr>
              <w:jc w:val="right"/>
            </w:pPr>
            <w:r>
              <w:t>0.086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0.041)</w:t>
            </w:r>
          </w:p>
        </w:tc>
        <w:tc>
          <w:tcPr>
            <w:tcW w:w="851" w:type="dxa"/>
          </w:tcPr>
          <w:p w14:paraId="416EE3E8" w14:textId="77777777" w:rsidR="000C4FFD" w:rsidRDefault="000C4FFD" w:rsidP="000C4FFD">
            <w:pPr>
              <w:jc w:val="right"/>
            </w:pPr>
            <w:r>
              <w:t>64</w:t>
            </w:r>
          </w:p>
        </w:tc>
        <w:tc>
          <w:tcPr>
            <w:tcW w:w="850" w:type="dxa"/>
          </w:tcPr>
          <w:p w14:paraId="562A0D54" w14:textId="77777777" w:rsidR="000C4FFD" w:rsidRDefault="000C4FFD" w:rsidP="000C4FFD">
            <w:pPr>
              <w:jc w:val="right"/>
            </w:pPr>
            <w:r>
              <w:t>0.216</w:t>
            </w:r>
          </w:p>
        </w:tc>
      </w:tr>
      <w:tr w:rsidR="000C4FFD" w14:paraId="5E50A3D6" w14:textId="77777777" w:rsidTr="000C4FFD">
        <w:tc>
          <w:tcPr>
            <w:tcW w:w="2628" w:type="dxa"/>
          </w:tcPr>
          <w:p w14:paraId="1EFD0096" w14:textId="77777777" w:rsidR="000C4FFD" w:rsidRDefault="000C4FFD" w:rsidP="000C4FFD">
            <w:pPr>
              <w:ind w:left="720"/>
            </w:pPr>
            <w:proofErr w:type="gramStart"/>
            <w:r>
              <w:t>tail</w:t>
            </w:r>
            <w:proofErr w:type="gramEnd"/>
            <w:r>
              <w:t xml:space="preserve"> length </w:t>
            </w:r>
          </w:p>
        </w:tc>
        <w:tc>
          <w:tcPr>
            <w:tcW w:w="2442" w:type="dxa"/>
          </w:tcPr>
          <w:p w14:paraId="6B0C481E" w14:textId="77777777" w:rsidR="000C4FFD" w:rsidRDefault="000C4FFD" w:rsidP="000C4FFD">
            <w:pPr>
              <w:jc w:val="right"/>
            </w:pPr>
            <w:r>
              <w:t>0.155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0.093)</w:t>
            </w:r>
          </w:p>
        </w:tc>
        <w:tc>
          <w:tcPr>
            <w:tcW w:w="3543" w:type="dxa"/>
          </w:tcPr>
          <w:p w14:paraId="513787A1" w14:textId="77777777" w:rsidR="000C4FFD" w:rsidRDefault="000C4FFD" w:rsidP="000C4FFD">
            <w:pPr>
              <w:jc w:val="right"/>
            </w:pPr>
            <w:r>
              <w:t>0.155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0.088)</w:t>
            </w:r>
          </w:p>
        </w:tc>
        <w:tc>
          <w:tcPr>
            <w:tcW w:w="851" w:type="dxa"/>
          </w:tcPr>
          <w:p w14:paraId="5A5B1882" w14:textId="77777777" w:rsidR="000C4FFD" w:rsidRDefault="000C4FFD" w:rsidP="000C4FFD">
            <w:pPr>
              <w:jc w:val="right"/>
            </w:pPr>
            <w:r>
              <w:t>50</w:t>
            </w:r>
          </w:p>
        </w:tc>
        <w:tc>
          <w:tcPr>
            <w:tcW w:w="850" w:type="dxa"/>
          </w:tcPr>
          <w:p w14:paraId="73C81814" w14:textId="77777777" w:rsidR="000C4FFD" w:rsidRDefault="000C4FFD" w:rsidP="000C4FFD">
            <w:pPr>
              <w:jc w:val="right"/>
            </w:pPr>
            <w:r>
              <w:t>0.790</w:t>
            </w:r>
          </w:p>
        </w:tc>
      </w:tr>
      <w:tr w:rsidR="000C4FFD" w14:paraId="39480D67" w14:textId="77777777" w:rsidTr="000C4FFD">
        <w:tc>
          <w:tcPr>
            <w:tcW w:w="2628" w:type="dxa"/>
          </w:tcPr>
          <w:p w14:paraId="56AA2A39" w14:textId="77777777" w:rsidR="000C4FFD" w:rsidRDefault="000C4FFD" w:rsidP="000C4FFD">
            <w:pPr>
              <w:ind w:left="720"/>
            </w:pPr>
            <w:proofErr w:type="gramStart"/>
            <w:r>
              <w:t>total</w:t>
            </w:r>
            <w:proofErr w:type="gramEnd"/>
            <w:r>
              <w:t xml:space="preserve"> length</w:t>
            </w:r>
          </w:p>
        </w:tc>
        <w:tc>
          <w:tcPr>
            <w:tcW w:w="2442" w:type="dxa"/>
          </w:tcPr>
          <w:p w14:paraId="5922B29C" w14:textId="77777777" w:rsidR="000C4FFD" w:rsidRDefault="000C4FFD" w:rsidP="000C4FFD">
            <w:pPr>
              <w:jc w:val="right"/>
            </w:pPr>
            <w:r>
              <w:t>0.053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0.034)</w:t>
            </w:r>
          </w:p>
        </w:tc>
        <w:tc>
          <w:tcPr>
            <w:tcW w:w="3543" w:type="dxa"/>
          </w:tcPr>
          <w:p w14:paraId="232AE5B6" w14:textId="77777777" w:rsidR="000C4FFD" w:rsidRDefault="000C4FFD" w:rsidP="000C4FFD">
            <w:pPr>
              <w:jc w:val="right"/>
            </w:pPr>
            <w:r>
              <w:t>0.052 (</w:t>
            </w:r>
            <w:r w:rsidRPr="00A40470">
              <w:rPr>
                <w:rFonts w:eastAsia="ＭＳ ゴシック"/>
                <w:color w:val="000000"/>
              </w:rPr>
              <w:t>±</w:t>
            </w:r>
            <w:r>
              <w:rPr>
                <w:rFonts w:eastAsia="ＭＳ ゴシック"/>
                <w:color w:val="000000"/>
              </w:rPr>
              <w:t xml:space="preserve"> 0.033)</w:t>
            </w:r>
          </w:p>
        </w:tc>
        <w:tc>
          <w:tcPr>
            <w:tcW w:w="851" w:type="dxa"/>
          </w:tcPr>
          <w:p w14:paraId="3FBB4531" w14:textId="77777777" w:rsidR="000C4FFD" w:rsidRDefault="000C4FFD" w:rsidP="000C4FFD">
            <w:pPr>
              <w:jc w:val="right"/>
            </w:pPr>
            <w:r>
              <w:t>53</w:t>
            </w:r>
          </w:p>
        </w:tc>
        <w:tc>
          <w:tcPr>
            <w:tcW w:w="850" w:type="dxa"/>
          </w:tcPr>
          <w:p w14:paraId="0E5A4CFC" w14:textId="77777777" w:rsidR="000C4FFD" w:rsidRDefault="000C4FFD" w:rsidP="000C4FFD">
            <w:pPr>
              <w:jc w:val="right"/>
            </w:pPr>
            <w:r>
              <w:t>0.636</w:t>
            </w:r>
          </w:p>
        </w:tc>
      </w:tr>
      <w:tr w:rsidR="000C4FFD" w14:paraId="6E5B783F" w14:textId="77777777" w:rsidTr="000C4FFD">
        <w:tc>
          <w:tcPr>
            <w:tcW w:w="2628" w:type="dxa"/>
          </w:tcPr>
          <w:p w14:paraId="1C37088E" w14:textId="77777777" w:rsidR="000C4FFD" w:rsidRDefault="000C4FFD" w:rsidP="000C4FFD">
            <w:pPr>
              <w:ind w:left="720"/>
            </w:pPr>
          </w:p>
        </w:tc>
        <w:tc>
          <w:tcPr>
            <w:tcW w:w="2442" w:type="dxa"/>
          </w:tcPr>
          <w:p w14:paraId="064FE4CA" w14:textId="77777777" w:rsidR="000C4FFD" w:rsidRDefault="000C4FFD" w:rsidP="000C4FFD">
            <w:pPr>
              <w:jc w:val="right"/>
            </w:pPr>
          </w:p>
        </w:tc>
        <w:tc>
          <w:tcPr>
            <w:tcW w:w="3543" w:type="dxa"/>
          </w:tcPr>
          <w:p w14:paraId="4208CB83" w14:textId="77777777" w:rsidR="000C4FFD" w:rsidRDefault="000C4FFD" w:rsidP="000C4FFD">
            <w:pPr>
              <w:jc w:val="right"/>
            </w:pPr>
          </w:p>
        </w:tc>
        <w:tc>
          <w:tcPr>
            <w:tcW w:w="851" w:type="dxa"/>
          </w:tcPr>
          <w:p w14:paraId="667427EB" w14:textId="77777777" w:rsidR="000C4FFD" w:rsidRDefault="000C4FFD" w:rsidP="000C4FFD">
            <w:pPr>
              <w:jc w:val="right"/>
            </w:pPr>
          </w:p>
        </w:tc>
        <w:tc>
          <w:tcPr>
            <w:tcW w:w="850" w:type="dxa"/>
          </w:tcPr>
          <w:p w14:paraId="112C5F94" w14:textId="77777777" w:rsidR="000C4FFD" w:rsidRDefault="000C4FFD" w:rsidP="000C4FFD">
            <w:pPr>
              <w:jc w:val="right"/>
            </w:pPr>
          </w:p>
        </w:tc>
      </w:tr>
    </w:tbl>
    <w:p w14:paraId="76966B1C" w14:textId="77777777" w:rsidR="000C4FFD" w:rsidRDefault="000C4FFD" w:rsidP="000C4FFD"/>
    <w:p w14:paraId="566472E5" w14:textId="77777777" w:rsidR="000C4FFD" w:rsidRPr="00C221F9" w:rsidRDefault="000C4FFD" w:rsidP="000C4FFD">
      <w:pPr>
        <w:ind w:right="-23"/>
        <w:rPr>
          <w:sz w:val="20"/>
          <w:szCs w:val="20"/>
        </w:rPr>
      </w:pPr>
      <w:r w:rsidRPr="00C221F9">
        <w:rPr>
          <w:sz w:val="20"/>
          <w:szCs w:val="20"/>
          <w:vertAlign w:val="superscript"/>
        </w:rPr>
        <w:t>1</w:t>
      </w:r>
      <w:r w:rsidRPr="00C221F9">
        <w:rPr>
          <w:sz w:val="20"/>
          <w:szCs w:val="20"/>
        </w:rPr>
        <w:t xml:space="preserve">Difference between </w:t>
      </w:r>
      <w:proofErr w:type="spellStart"/>
      <w:r w:rsidRPr="00C221F9">
        <w:rPr>
          <w:sz w:val="20"/>
          <w:szCs w:val="20"/>
        </w:rPr>
        <w:t>faecal</w:t>
      </w:r>
      <w:proofErr w:type="spellEnd"/>
      <w:r w:rsidRPr="00C221F9">
        <w:rPr>
          <w:sz w:val="20"/>
          <w:szCs w:val="20"/>
        </w:rPr>
        <w:t xml:space="preserve"> and seminal </w:t>
      </w:r>
      <w:proofErr w:type="spellStart"/>
      <w:r w:rsidRPr="00C221F9">
        <w:rPr>
          <w:sz w:val="20"/>
          <w:szCs w:val="20"/>
        </w:rPr>
        <w:t>glomera</w:t>
      </w:r>
      <w:proofErr w:type="spellEnd"/>
      <w:r w:rsidRPr="00C221F9">
        <w:rPr>
          <w:sz w:val="20"/>
          <w:szCs w:val="20"/>
        </w:rPr>
        <w:t xml:space="preserve"> sperm </w:t>
      </w:r>
      <w:proofErr w:type="spellStart"/>
      <w:r w:rsidRPr="00C221F9">
        <w:rPr>
          <w:sz w:val="20"/>
          <w:szCs w:val="20"/>
        </w:rPr>
        <w:t>analysed</w:t>
      </w:r>
      <w:proofErr w:type="spellEnd"/>
      <w:r w:rsidRPr="00C221F9">
        <w:rPr>
          <w:sz w:val="20"/>
          <w:szCs w:val="20"/>
        </w:rPr>
        <w:t xml:space="preserve"> using a </w:t>
      </w:r>
      <w:proofErr w:type="spellStart"/>
      <w:r w:rsidRPr="00C221F9">
        <w:rPr>
          <w:sz w:val="20"/>
          <w:szCs w:val="20"/>
        </w:rPr>
        <w:t>generalised</w:t>
      </w:r>
      <w:proofErr w:type="spellEnd"/>
      <w:r w:rsidRPr="00C221F9">
        <w:rPr>
          <w:sz w:val="20"/>
          <w:szCs w:val="20"/>
        </w:rPr>
        <w:t xml:space="preserve"> linear mixed model for each trait, with sample type as the explanatory variable and m</w:t>
      </w:r>
      <w:r>
        <w:rPr>
          <w:sz w:val="20"/>
          <w:szCs w:val="20"/>
        </w:rPr>
        <w:t>ale identity as a random effect</w:t>
      </w:r>
    </w:p>
    <w:p w14:paraId="66989B3F" w14:textId="77777777" w:rsidR="000C4FFD" w:rsidRDefault="000C4FFD" w:rsidP="000C4FFD">
      <w:pPr>
        <w:rPr>
          <w:sz w:val="20"/>
          <w:szCs w:val="20"/>
        </w:rPr>
      </w:pPr>
      <w:r w:rsidRPr="00C221F9">
        <w:rPr>
          <w:sz w:val="20"/>
          <w:szCs w:val="20"/>
          <w:vertAlign w:val="superscript"/>
        </w:rPr>
        <w:t>2</w:t>
      </w:r>
      <w:r w:rsidRPr="00C221F9">
        <w:rPr>
          <w:sz w:val="20"/>
          <w:szCs w:val="20"/>
        </w:rPr>
        <w:t xml:space="preserve">Coefficients of variation for both samples per male were </w:t>
      </w:r>
      <w:proofErr w:type="spellStart"/>
      <w:r w:rsidRPr="00C221F9">
        <w:rPr>
          <w:sz w:val="20"/>
          <w:szCs w:val="20"/>
        </w:rPr>
        <w:t>analysed</w:t>
      </w:r>
      <w:proofErr w:type="spellEnd"/>
      <w:r w:rsidRPr="00C221F9">
        <w:rPr>
          <w:sz w:val="20"/>
          <w:szCs w:val="20"/>
        </w:rPr>
        <w:t xml:space="preserve"> on a pairwise basis using a paired Wilcoxon test for each morphological trait</w:t>
      </w:r>
    </w:p>
    <w:p w14:paraId="0788BAD9" w14:textId="77777777" w:rsidR="000C4FFD" w:rsidRPr="00A7416C" w:rsidRDefault="000C4FFD" w:rsidP="000C4FFD">
      <w:pPr>
        <w:ind w:right="119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Values presented are the grand mean and </w:t>
      </w:r>
      <w:proofErr w:type="spellStart"/>
      <w:r>
        <w:rPr>
          <w:sz w:val="20"/>
          <w:szCs w:val="20"/>
        </w:rPr>
        <w:t>s.d.</w:t>
      </w:r>
      <w:proofErr w:type="spellEnd"/>
      <w:r>
        <w:rPr>
          <w:sz w:val="20"/>
          <w:szCs w:val="20"/>
        </w:rPr>
        <w:t xml:space="preserve"> calculated across individual male means</w:t>
      </w:r>
      <w:r w:rsidRPr="00A7416C">
        <w:rPr>
          <w:sz w:val="20"/>
          <w:szCs w:val="20"/>
        </w:rPr>
        <w:t xml:space="preserve">. </w:t>
      </w:r>
      <w:r>
        <w:rPr>
          <w:sz w:val="20"/>
          <w:szCs w:val="20"/>
        </w:rPr>
        <w:t>T</w:t>
      </w:r>
      <w:r w:rsidRPr="00A7416C">
        <w:rPr>
          <w:sz w:val="20"/>
          <w:szCs w:val="20"/>
        </w:rPr>
        <w:t>he potential effect of male identity was controlled for within the statistical analysis.</w:t>
      </w:r>
    </w:p>
    <w:p w14:paraId="2374CD15" w14:textId="77777777" w:rsidR="000C4FFD" w:rsidRPr="00C221F9" w:rsidRDefault="000C4FFD" w:rsidP="000C4FFD">
      <w:pPr>
        <w:ind w:right="1911"/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>
        <w:rPr>
          <w:sz w:val="20"/>
          <w:szCs w:val="20"/>
        </w:rPr>
        <w:t>N = 10</w:t>
      </w:r>
      <w:r w:rsidRPr="00A7416C">
        <w:rPr>
          <w:sz w:val="20"/>
          <w:szCs w:val="20"/>
        </w:rPr>
        <w:t xml:space="preserve"> sperm in all samples</w:t>
      </w:r>
      <w:r>
        <w:rPr>
          <w:sz w:val="20"/>
          <w:szCs w:val="20"/>
        </w:rPr>
        <w:t>, from 13 males in total.</w:t>
      </w:r>
    </w:p>
    <w:p w14:paraId="5FCABDE8" w14:textId="77777777" w:rsidR="000C4FFD" w:rsidRDefault="000C4FFD" w:rsidP="000C4FFD">
      <w:pPr>
        <w:spacing w:line="480" w:lineRule="auto"/>
      </w:pPr>
    </w:p>
    <w:p w14:paraId="190801CA" w14:textId="77777777" w:rsidR="000C4FFD" w:rsidRDefault="000C4FFD" w:rsidP="000C4FFD">
      <w:pPr>
        <w:spacing w:line="480" w:lineRule="auto"/>
      </w:pPr>
    </w:p>
    <w:p w14:paraId="633968D0" w14:textId="77777777" w:rsidR="000C4FFD" w:rsidRDefault="000C4FFD" w:rsidP="000C4FFD">
      <w:pPr>
        <w:spacing w:line="480" w:lineRule="auto"/>
      </w:pPr>
    </w:p>
    <w:p w14:paraId="2C76E9E0" w14:textId="77777777" w:rsidR="000C4FFD" w:rsidRDefault="000C4FFD" w:rsidP="000C4FFD">
      <w:pPr>
        <w:spacing w:line="480" w:lineRule="auto"/>
      </w:pPr>
    </w:p>
    <w:p w14:paraId="68F708F2" w14:textId="77777777" w:rsidR="000C4FFD" w:rsidRDefault="000C4FFD" w:rsidP="000C4FFD">
      <w:pPr>
        <w:spacing w:line="480" w:lineRule="auto"/>
      </w:pPr>
    </w:p>
    <w:p w14:paraId="681F0C32" w14:textId="77777777" w:rsidR="000C4FFD" w:rsidRDefault="000C4FFD" w:rsidP="000C4FFD">
      <w:pPr>
        <w:spacing w:line="480" w:lineRule="auto"/>
      </w:pPr>
    </w:p>
    <w:p w14:paraId="787D8106" w14:textId="77777777" w:rsidR="000C4FFD" w:rsidRDefault="000C4FFD" w:rsidP="000C4FFD">
      <w:pPr>
        <w:spacing w:line="480" w:lineRule="auto"/>
      </w:pPr>
      <w:r>
        <w:t xml:space="preserve">ESM3: Figure S1. Ratios of </w:t>
      </w:r>
      <w:proofErr w:type="spellStart"/>
      <w:r>
        <w:t>midpiece</w:t>
      </w:r>
      <w:proofErr w:type="spellEnd"/>
      <w:r>
        <w:t xml:space="preserve"> to tail length in unselected and selected sperm samples. Box and whisker plots are as in Figure 1 (main text).</w:t>
      </w:r>
    </w:p>
    <w:p w14:paraId="01CBBEF7" w14:textId="77777777" w:rsidR="000C4FFD" w:rsidRDefault="000C4FFD" w:rsidP="000C4FFD">
      <w:pPr>
        <w:spacing w:line="480" w:lineRule="auto"/>
      </w:pPr>
      <w:r>
        <w:rPr>
          <w:noProof/>
          <w:lang w:eastAsia="en-US"/>
        </w:rPr>
        <w:drawing>
          <wp:inline distT="0" distB="0" distL="0" distR="0" wp14:anchorId="6EFC378C" wp14:editId="5CEBDEAF">
            <wp:extent cx="5274310" cy="445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 ratio of midpiece to tail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BFE8" w14:textId="77777777" w:rsidR="000C4FFD" w:rsidRDefault="000C4FFD" w:rsidP="000C4FFD"/>
    <w:p w14:paraId="73F3E745" w14:textId="77777777" w:rsidR="000C4FFD" w:rsidRDefault="000C4FFD" w:rsidP="000C4FFD"/>
    <w:p w14:paraId="64B37141" w14:textId="77777777" w:rsidR="00834F36" w:rsidRDefault="00834F36" w:rsidP="00834F36">
      <w:r>
        <w:t>References</w:t>
      </w:r>
    </w:p>
    <w:p w14:paraId="67E57366" w14:textId="6889029E" w:rsidR="000C4FFD" w:rsidRDefault="000C4FFD" w:rsidP="000C4FFD">
      <w:r>
        <w:t xml:space="preserve">[1] </w:t>
      </w:r>
      <w:proofErr w:type="spellStart"/>
      <w:r>
        <w:t>Immler</w:t>
      </w:r>
      <w:proofErr w:type="spellEnd"/>
      <w:r>
        <w:t xml:space="preserve">, S. &amp; Birkhead, T.R. 2005. </w:t>
      </w:r>
      <w:proofErr w:type="gramStart"/>
      <w:r>
        <w:t>A non-invasive method for obtaining spermatozoa from birds.</w:t>
      </w:r>
      <w:proofErr w:type="gramEnd"/>
      <w:r>
        <w:t xml:space="preserve"> </w:t>
      </w:r>
      <w:proofErr w:type="gramStart"/>
      <w:r w:rsidRPr="009E3FE3">
        <w:rPr>
          <w:i/>
        </w:rPr>
        <w:t>Ibis</w:t>
      </w:r>
      <w:r>
        <w:t xml:space="preserve"> </w:t>
      </w:r>
      <w:r w:rsidRPr="009E3FE3">
        <w:rPr>
          <w:b/>
        </w:rPr>
        <w:t>147</w:t>
      </w:r>
      <w:r>
        <w:t>: 827-830.</w:t>
      </w:r>
      <w:proofErr w:type="gramEnd"/>
    </w:p>
    <w:p w14:paraId="530CB9E2" w14:textId="6D4291A2" w:rsidR="00834F36" w:rsidRDefault="000C4FFD" w:rsidP="00834F36">
      <w:proofErr w:type="gramStart"/>
      <w:r>
        <w:t xml:space="preserve">[2] </w:t>
      </w:r>
      <w:r w:rsidR="00834F36">
        <w:t xml:space="preserve">Birkhead, T.R., Burke, T. </w:t>
      </w:r>
      <w:proofErr w:type="spellStart"/>
      <w:r w:rsidR="00834F36">
        <w:t>Zann</w:t>
      </w:r>
      <w:proofErr w:type="spellEnd"/>
      <w:r w:rsidR="00834F36">
        <w:t xml:space="preserve">, R., Hunter, F.M. &amp; </w:t>
      </w:r>
      <w:proofErr w:type="spellStart"/>
      <w:r w:rsidR="00834F36">
        <w:t>Krupa</w:t>
      </w:r>
      <w:proofErr w:type="spellEnd"/>
      <w:r w:rsidR="00834F36">
        <w:t>, A.P. 2005.</w:t>
      </w:r>
      <w:proofErr w:type="gramEnd"/>
      <w:r w:rsidR="00834F36">
        <w:t xml:space="preserve"> Genetic effects on sperm design in the zebra finch. </w:t>
      </w:r>
      <w:proofErr w:type="gramStart"/>
      <w:r w:rsidR="00834F36" w:rsidRPr="009E3FE3">
        <w:rPr>
          <w:i/>
        </w:rPr>
        <w:t>Nature</w:t>
      </w:r>
      <w:r w:rsidR="00834F36">
        <w:t xml:space="preserve"> </w:t>
      </w:r>
      <w:r w:rsidR="00834F36" w:rsidRPr="009E3FE3">
        <w:rPr>
          <w:b/>
        </w:rPr>
        <w:t>434</w:t>
      </w:r>
      <w:r w:rsidR="00834F36">
        <w:t>: 383-387.</w:t>
      </w:r>
      <w:proofErr w:type="gramEnd"/>
    </w:p>
    <w:p w14:paraId="50312155" w14:textId="2DD9D689" w:rsidR="00E601E5" w:rsidRDefault="000C4FFD">
      <w:r>
        <w:t xml:space="preserve">[3] </w:t>
      </w:r>
      <w:r w:rsidR="00834F36">
        <w:t xml:space="preserve">Schneider, C.A., </w:t>
      </w:r>
      <w:proofErr w:type="spellStart"/>
      <w:r w:rsidR="00834F36">
        <w:t>Rasband</w:t>
      </w:r>
      <w:proofErr w:type="spellEnd"/>
      <w:r w:rsidR="00834F36">
        <w:t xml:space="preserve">, W.S. &amp; </w:t>
      </w:r>
      <w:proofErr w:type="spellStart"/>
      <w:r w:rsidR="00834F36">
        <w:t>Eliceiri</w:t>
      </w:r>
      <w:proofErr w:type="spellEnd"/>
      <w:r w:rsidR="00834F36">
        <w:t xml:space="preserve">, K.W. 2012. NIH Image to </w:t>
      </w:r>
      <w:proofErr w:type="spellStart"/>
      <w:r w:rsidR="00834F36">
        <w:t>ImageJ</w:t>
      </w:r>
      <w:proofErr w:type="spellEnd"/>
      <w:r w:rsidR="00834F36">
        <w:t xml:space="preserve">: 25 years of image analysis. </w:t>
      </w:r>
      <w:r w:rsidR="00834F36" w:rsidRPr="009E3FE3">
        <w:rPr>
          <w:i/>
        </w:rPr>
        <w:t>Nat. Methods</w:t>
      </w:r>
      <w:r w:rsidR="00834F36">
        <w:t xml:space="preserve"> </w:t>
      </w:r>
      <w:r w:rsidR="00834F36" w:rsidRPr="009E3FE3">
        <w:rPr>
          <w:b/>
        </w:rPr>
        <w:t>9</w:t>
      </w:r>
      <w:r w:rsidR="00834F36">
        <w:t>: 671-675.</w:t>
      </w:r>
    </w:p>
    <w:sectPr w:rsidR="00E601E5" w:rsidSect="00C6282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D7"/>
    <w:rsid w:val="000B7BA6"/>
    <w:rsid w:val="000C4FFD"/>
    <w:rsid w:val="00770AC4"/>
    <w:rsid w:val="00834F36"/>
    <w:rsid w:val="00937CD7"/>
    <w:rsid w:val="00A8489C"/>
    <w:rsid w:val="00AD50F8"/>
    <w:rsid w:val="00C62820"/>
    <w:rsid w:val="00E601E5"/>
    <w:rsid w:val="00EA50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FA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C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4FFD"/>
    <w:pPr>
      <w:spacing w:after="0"/>
    </w:pPr>
    <w:rPr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C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4FFD"/>
    <w:pPr>
      <w:spacing w:after="0"/>
    </w:pPr>
    <w:rPr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530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Hemmings</dc:creator>
  <cp:keywords/>
  <dc:description/>
  <cp:lastModifiedBy>Nicola Hemmings</cp:lastModifiedBy>
  <cp:revision>6</cp:revision>
  <dcterms:created xsi:type="dcterms:W3CDTF">2016-02-01T18:22:00Z</dcterms:created>
  <dcterms:modified xsi:type="dcterms:W3CDTF">2016-04-15T13:41:00Z</dcterms:modified>
</cp:coreProperties>
</file>