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CoUPon-app/app/views/students/new.html.erb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