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3FC9" w14:textId="5A1665CD" w:rsidR="00A32CEB" w:rsidRDefault="00000000" w:rsidP="00C632F5">
      <w:pPr>
        <w:spacing w:after="80" w:line="280" w:lineRule="exact"/>
        <w:jc w:val="center"/>
      </w:pPr>
      <w:r>
        <w:rPr>
          <w:b/>
        </w:rPr>
        <w:t>Predicting Sovereign Debt Crises in Emerging Markets Using Satellite Imagery and News Text</w:t>
      </w:r>
    </w:p>
    <w:p w14:paraId="1AE88E74" w14:textId="77777777" w:rsidR="00A32CEB" w:rsidRDefault="00000000">
      <w:pPr>
        <w:spacing w:before="200" w:after="80"/>
      </w:pPr>
      <w:r>
        <w:rPr>
          <w:b/>
          <w:u w:val="single"/>
        </w:rPr>
        <w:t>a) Group Members</w:t>
      </w:r>
    </w:p>
    <w:p w14:paraId="66ADB116" w14:textId="76D304F1" w:rsidR="00A32CEB" w:rsidRPr="00AC3400" w:rsidRDefault="00AC3400">
      <w:pPr>
        <w:spacing w:after="160" w:line="280" w:lineRule="exact"/>
        <w:rPr>
          <w:rFonts w:eastAsia="宋体" w:hint="eastAsia"/>
          <w:lang w:eastAsia="zh-CN"/>
        </w:rPr>
      </w:pPr>
      <w:r>
        <w:rPr>
          <w:rFonts w:eastAsia="宋体" w:hint="eastAsia"/>
          <w:lang w:eastAsia="zh-CN"/>
        </w:rPr>
        <w:t>Jinen Wang</w:t>
      </w:r>
      <w:r w:rsidR="00E6701C">
        <w:rPr>
          <w:rFonts w:eastAsia="宋体" w:hint="eastAsia"/>
          <w:lang w:eastAsia="zh-CN"/>
        </w:rPr>
        <w:t xml:space="preserve"> (</w:t>
      </w:r>
      <w:r w:rsidR="00E6701C" w:rsidRPr="00E6701C">
        <w:rPr>
          <w:rFonts w:eastAsia="宋体"/>
          <w:lang w:eastAsia="zh-CN"/>
        </w:rPr>
        <w:t>jw4810</w:t>
      </w:r>
      <w:r w:rsidR="00E6701C">
        <w:rPr>
          <w:rFonts w:eastAsia="宋体" w:hint="eastAsia"/>
          <w:lang w:eastAsia="zh-CN"/>
        </w:rPr>
        <w:t>)</w:t>
      </w:r>
      <w:r>
        <w:rPr>
          <w:rFonts w:eastAsia="宋体" w:hint="eastAsia"/>
          <w:lang w:eastAsia="zh-CN"/>
        </w:rPr>
        <w:t xml:space="preserve">, </w:t>
      </w:r>
      <w:r w:rsidR="00855E45" w:rsidRPr="00855E45">
        <w:rPr>
          <w:rFonts w:eastAsia="宋体"/>
          <w:lang w:eastAsia="zh-CN"/>
        </w:rPr>
        <w:t>Levi Liu (ll3760)</w:t>
      </w:r>
      <w:r>
        <w:rPr>
          <w:rFonts w:eastAsia="宋体" w:hint="eastAsia"/>
          <w:lang w:eastAsia="zh-CN"/>
        </w:rPr>
        <w:t>, Wuhao Xi</w:t>
      </w:r>
      <w:r w:rsidR="0082770F">
        <w:rPr>
          <w:rFonts w:eastAsia="宋体" w:hint="eastAsia"/>
          <w:lang w:eastAsia="zh-CN"/>
        </w:rPr>
        <w:t>a</w:t>
      </w:r>
      <w:r w:rsidR="00873431">
        <w:rPr>
          <w:rFonts w:eastAsia="宋体" w:hint="eastAsia"/>
          <w:lang w:eastAsia="zh-CN"/>
        </w:rPr>
        <w:t xml:space="preserve"> (wx2344)</w:t>
      </w:r>
      <w:r w:rsidR="00402A33">
        <w:rPr>
          <w:rFonts w:eastAsia="宋体" w:hint="eastAsia"/>
          <w:lang w:eastAsia="zh-CN"/>
        </w:rPr>
        <w:t xml:space="preserve">, </w:t>
      </w:r>
      <w:r w:rsidR="00402A33" w:rsidRPr="00402A33">
        <w:rPr>
          <w:rFonts w:eastAsia="宋体"/>
          <w:lang w:eastAsia="zh-CN"/>
        </w:rPr>
        <w:t xml:space="preserve">Chenyi </w:t>
      </w:r>
      <w:r w:rsidR="00C36752" w:rsidRPr="00402A33">
        <w:rPr>
          <w:rFonts w:eastAsia="宋体"/>
          <w:lang w:eastAsia="zh-CN"/>
        </w:rPr>
        <w:t xml:space="preserve">Jiang </w:t>
      </w:r>
      <w:r w:rsidR="00402A33" w:rsidRPr="00402A33">
        <w:rPr>
          <w:rFonts w:eastAsia="宋体"/>
          <w:lang w:eastAsia="zh-CN"/>
        </w:rPr>
        <w:t>(cj2878)</w:t>
      </w:r>
    </w:p>
    <w:p w14:paraId="306F74A1" w14:textId="77777777" w:rsidR="00A32CEB" w:rsidRDefault="00000000">
      <w:pPr>
        <w:spacing w:before="200" w:after="80"/>
      </w:pPr>
      <w:r>
        <w:rPr>
          <w:b/>
          <w:u w:val="single"/>
        </w:rPr>
        <w:t>b) Research Questions</w:t>
      </w:r>
    </w:p>
    <w:p w14:paraId="3EDA23F3" w14:textId="77777777" w:rsidR="00A32CEB" w:rsidRDefault="00000000">
      <w:pPr>
        <w:spacing w:after="120" w:line="280" w:lineRule="exact"/>
      </w:pPr>
      <w:r>
        <w:t>Sovereign debt crises in emerging markets are consistently difficult to anticipate. Existing early warning systems rely heavily on official macroeconomic statistics — GDP growth, debt-to-GDP ratios, fiscal balances — which suffer from two fundamental problems: they are released with significant lags, and they are frequently manipulated by governments whose solvency is under question. A government facing debt distress has every incentive to report favorable statistics until the moment of crisis, making official data an unreliable early warning signal.</w:t>
      </w:r>
    </w:p>
    <w:p w14:paraId="51A1E47D" w14:textId="77777777" w:rsidR="00A32CEB" w:rsidRDefault="00000000">
      <w:pPr>
        <w:spacing w:after="80" w:line="280" w:lineRule="exact"/>
      </w:pPr>
      <w:r>
        <w:t>This project asks three specific questions:</w:t>
      </w:r>
    </w:p>
    <w:p w14:paraId="4AC766A0" w14:textId="77777777" w:rsidR="00A32CEB" w:rsidRDefault="00000000">
      <w:pPr>
        <w:spacing w:after="80" w:line="280" w:lineRule="exact"/>
        <w:ind w:left="360"/>
      </w:pPr>
      <w:r>
        <w:rPr>
          <w:b/>
        </w:rPr>
        <w:t xml:space="preserve">1. </w:t>
      </w:r>
      <w:r>
        <w:t>Do nighttime satellite light trends and global news sentiment contain predictive information about sovereign debt crises that is not captured in official macroeconomic statistics?</w:t>
      </w:r>
    </w:p>
    <w:p w14:paraId="5EB8F272" w14:textId="77777777" w:rsidR="00A32CEB" w:rsidRDefault="00000000">
      <w:pPr>
        <w:spacing w:after="80" w:line="280" w:lineRule="exact"/>
        <w:ind w:left="360"/>
      </w:pPr>
      <w:r>
        <w:rPr>
          <w:b/>
        </w:rPr>
        <w:t xml:space="preserve">2. </w:t>
      </w:r>
      <w:r>
        <w:t>Does the divergence between satellite-derived economic activity and officially reported GDP — a proxy for statistical misreporting — independently predict crisis onset?</w:t>
      </w:r>
    </w:p>
    <w:p w14:paraId="629D52C0" w14:textId="399E27F8" w:rsidR="00A32CEB" w:rsidRPr="00C91B77" w:rsidRDefault="00000000" w:rsidP="00C91B77">
      <w:pPr>
        <w:spacing w:after="80" w:line="280" w:lineRule="exact"/>
        <w:ind w:left="360"/>
        <w:rPr>
          <w:rFonts w:eastAsia="宋体" w:hint="eastAsia"/>
          <w:lang w:eastAsia="zh-CN"/>
        </w:rPr>
      </w:pPr>
      <w:r>
        <w:rPr>
          <w:b/>
        </w:rPr>
        <w:t xml:space="preserve">3. </w:t>
      </w:r>
      <w:r>
        <w:t>Is the predictive performance of our model consistent across regions and income groups, or does it systematically underperform for certain countries?</w:t>
      </w:r>
    </w:p>
    <w:p w14:paraId="487C8A1C" w14:textId="77777777" w:rsidR="00A32CEB" w:rsidRDefault="00000000">
      <w:pPr>
        <w:spacing w:before="200" w:after="80"/>
      </w:pPr>
      <w:r>
        <w:rPr>
          <w:b/>
          <w:u w:val="single"/>
        </w:rPr>
        <w:t>c) Data</w:t>
      </w:r>
    </w:p>
    <w:p w14:paraId="6CCB1F66" w14:textId="77777777" w:rsidR="00A32CEB" w:rsidRDefault="00000000">
      <w:pPr>
        <w:spacing w:after="80" w:line="280" w:lineRule="exact"/>
      </w:pPr>
      <w:r>
        <w:t>We will use three data sources, all freely accessible:</w:t>
      </w:r>
    </w:p>
    <w:p w14:paraId="478073FB" w14:textId="77777777" w:rsidR="00A32CEB" w:rsidRDefault="00000000">
      <w:pPr>
        <w:spacing w:after="80" w:line="280" w:lineRule="exact"/>
        <w:ind w:left="360"/>
      </w:pPr>
      <w:r>
        <w:rPr>
          <w:b/>
        </w:rPr>
        <w:t xml:space="preserve">NASA Black Marble (VIIRS Nighttime Lights). </w:t>
      </w:r>
      <w:r>
        <w:t>Annual and monthly nighttime light composites at ~500m resolution, available via NASA Earthdata. We will aggregate to country-level luminosity indices and compute growth rates as proxies for true economic activity, following the methodology of Henderson et al. (2012) and Blumenstock et al. (2015). For pre-2012 coverage we will use the harmonized DMSP-OLS series, yielding a panel from 2000–2023.</w:t>
      </w:r>
    </w:p>
    <w:p w14:paraId="25EE3BA0" w14:textId="77777777" w:rsidR="00A32CEB" w:rsidRDefault="00000000">
      <w:pPr>
        <w:spacing w:after="80" w:line="280" w:lineRule="exact"/>
        <w:ind w:left="360"/>
      </w:pPr>
      <w:r>
        <w:rPr>
          <w:b/>
        </w:rPr>
        <w:t xml:space="preserve">GDELT Global Knowledge Graph. </w:t>
      </w:r>
      <w:r>
        <w:t>GDELT monitors news in 100+ languages in near real-time and is freely accessible via Google BigQuery (free tier). We will extract monthly country-level sentiment scores and event counts related to economic distress, government instability, and IMF interactions. This provides a text-derived signal fully independent of government reporting.</w:t>
      </w:r>
    </w:p>
    <w:p w14:paraId="3F7241FE" w14:textId="77777777" w:rsidR="00A32CEB" w:rsidRDefault="00000000">
      <w:pPr>
        <w:spacing w:after="80" w:line="280" w:lineRule="exact"/>
        <w:ind w:left="360"/>
      </w:pPr>
      <w:r>
        <w:rPr>
          <w:b/>
        </w:rPr>
        <w:t xml:space="preserve">World Bank WDI + IMF Crisis Database. </w:t>
      </w:r>
      <w:r>
        <w:t>Standard macroeconomic controls (GDP growth, inflation, debt/GDP, current account, reserves) from the World Bank's World Development Indicators. Crisis episode labels from the IMF's historical sovereign debt crisis database (~150 episodes across ~80 emerging market countries, 1970–2023), supplemented by Reinhart and Rogoff (2009).</w:t>
      </w:r>
    </w:p>
    <w:p w14:paraId="1D5A7116" w14:textId="77777777" w:rsidR="00A32CEB" w:rsidRDefault="00000000">
      <w:pPr>
        <w:spacing w:before="80" w:after="160" w:line="280" w:lineRule="exact"/>
      </w:pPr>
      <w:r>
        <w:t>We have confirmed access to all three sources. The unit of observation is country-year, yielding an unbalanced panel of approximately 80 emerging market countries over 2000–2023.</w:t>
      </w:r>
    </w:p>
    <w:p w14:paraId="31B11B3B" w14:textId="77777777" w:rsidR="00A32CEB" w:rsidRDefault="00000000">
      <w:pPr>
        <w:spacing w:before="200" w:after="80"/>
      </w:pPr>
      <w:r>
        <w:rPr>
          <w:b/>
          <w:u w:val="single"/>
        </w:rPr>
        <w:lastRenderedPageBreak/>
        <w:t>d) Strategy</w:t>
      </w:r>
    </w:p>
    <w:p w14:paraId="726E6FC9" w14:textId="77777777" w:rsidR="00A32CEB" w:rsidRDefault="00000000">
      <w:pPr>
        <w:spacing w:after="120" w:line="280" w:lineRule="exact"/>
      </w:pPr>
      <w:r>
        <w:t>Our analytical strategy proceeds in four steps, each engaging specific course methods:</w:t>
      </w:r>
    </w:p>
    <w:p w14:paraId="11C36B8E" w14:textId="77777777" w:rsidR="00A32CEB" w:rsidRDefault="00000000">
      <w:pPr>
        <w:spacing w:after="120" w:line="280" w:lineRule="exact"/>
      </w:pPr>
      <w:r>
        <w:t>Feature engineering. We construct three feature blocks: (i) standard macro features from WDI; (ii) satellite features, including light growth, volatility, and a divergence index defined as satellite light growth minus official GDP growth; (iii) text features from GDELT, including country-level tone scores and distress event counts. All features are lagged 1–4 quarters to ensure genuine out-of-sample prediction and avoid look-ahead bias.</w:t>
      </w:r>
    </w:p>
    <w:p w14:paraId="1101F20B" w14:textId="39843BF3" w:rsidR="00A32CEB" w:rsidRDefault="00000000">
      <w:pPr>
        <w:spacing w:after="120" w:line="280" w:lineRule="exact"/>
      </w:pPr>
      <w:r>
        <w:t>Prediction. Our primary classifier is XGBoost, predicting the probability of a debt crisis within the next 12 months. We use LASSO logistic regression as an interpretable baseline and for feature selection — its sparsity penalty reveals which signals survive when all three feature blocks compete simultaneously. We compare four nested specifications: (1) macro features only, (2) macro + satellite, (3) macro + text, (4) all features combined. Incremental AUC across specifications directly quantifies the marginal value of each alternative data source. SHAP values will be used to interpret which features drive predictions for specific crisis episodes.</w:t>
      </w:r>
    </w:p>
    <w:p w14:paraId="12AF401A" w14:textId="68339A51" w:rsidR="00A32CEB" w:rsidRDefault="00000000">
      <w:pPr>
        <w:spacing w:after="120" w:line="280" w:lineRule="exact"/>
      </w:pPr>
      <w:r>
        <w:t>Causal identification</w:t>
      </w:r>
      <w:r w:rsidR="004B58E4">
        <w:rPr>
          <w:rFonts w:eastAsia="宋体" w:hint="eastAsia"/>
          <w:lang w:eastAsia="zh-CN"/>
        </w:rPr>
        <w:t xml:space="preserve">. </w:t>
      </w:r>
      <w:r>
        <w:t>Predictive accuracy alone does not establish that the divergence index reflects statistical misreporting rather than some correlated unobservable. We exploit the staggered 2015–2016 expansion of VIIRS satellite coverage to previously unmonitored regions as a natural experiment, using a difference-in-differences design to test whether the divergence variable has a causal relationship with crisis onset.</w:t>
      </w:r>
    </w:p>
    <w:p w14:paraId="683AF072" w14:textId="6D1C26E5" w:rsidR="00A32CEB" w:rsidRDefault="00000000">
      <w:pPr>
        <w:spacing w:after="120" w:line="280" w:lineRule="exact"/>
      </w:pPr>
      <w:r>
        <w:t>Structural grounding</w:t>
      </w:r>
      <w:r w:rsidR="0060284B">
        <w:rPr>
          <w:rFonts w:eastAsia="宋体" w:hint="eastAsia"/>
          <w:lang w:eastAsia="zh-CN"/>
        </w:rPr>
        <w:t xml:space="preserve">. </w:t>
      </w:r>
      <w:r>
        <w:t>Our empirical specification is grounded in a simple two-period signaling model: a government facing debt distress chooses between accurate reporting and misreporting in period 1, then either services or defaults on debt in period 2. The model's equilibrium predicts that distressed governments will misreport upward, generating a growing satellite-official divergence, and that news sentiment will lead official statistics. These are testable predictions that discipline our feature construction and interpretation, rather than post-hoc rationalizations of data-mined results.</w:t>
      </w:r>
    </w:p>
    <w:p w14:paraId="38273ECC" w14:textId="39B40214" w:rsidR="00A32CEB" w:rsidRDefault="00000000">
      <w:pPr>
        <w:spacing w:after="120" w:line="280" w:lineRule="exact"/>
      </w:pPr>
      <w:r>
        <w:t>Fairness audit. We will evaluate model performance separately for Sub-Saharan Africa, Latin America, Emerging Asia, and MENA, and across income groups. If predictive performance differs significantly across groups — which could cause harm if the model were used to allocate IMF surveillance attention — we will apply recalibration and report the fairness-accuracy tradeoff explicitly.</w:t>
      </w:r>
    </w:p>
    <w:p w14:paraId="54A0FBD7" w14:textId="77777777" w:rsidR="00A32CEB" w:rsidRDefault="00000000">
      <w:pPr>
        <w:spacing w:after="0" w:line="280" w:lineRule="exact"/>
      </w:pPr>
      <w:r>
        <w:t>We anticipate that the combination of satellite and text features will improve AUC over macro-only baselines, and that the divergence index will be among the top SHAP predictors — consistent with the structural model's prediction that misreporting is a leading indicator of crisis. All code and processed data will be made publicly available.</w:t>
      </w:r>
    </w:p>
    <w:sectPr w:rsidR="00A32C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1332375">
    <w:abstractNumId w:val="8"/>
  </w:num>
  <w:num w:numId="2" w16cid:durableId="138116299">
    <w:abstractNumId w:val="6"/>
  </w:num>
  <w:num w:numId="3" w16cid:durableId="386421518">
    <w:abstractNumId w:val="5"/>
  </w:num>
  <w:num w:numId="4" w16cid:durableId="358236910">
    <w:abstractNumId w:val="4"/>
  </w:num>
  <w:num w:numId="5" w16cid:durableId="1534614458">
    <w:abstractNumId w:val="7"/>
  </w:num>
  <w:num w:numId="6" w16cid:durableId="1078283993">
    <w:abstractNumId w:val="3"/>
  </w:num>
  <w:num w:numId="7" w16cid:durableId="1092505121">
    <w:abstractNumId w:val="2"/>
  </w:num>
  <w:num w:numId="8" w16cid:durableId="1730807967">
    <w:abstractNumId w:val="1"/>
  </w:num>
  <w:num w:numId="9" w16cid:durableId="350842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14E"/>
    <w:rsid w:val="00034616"/>
    <w:rsid w:val="0006063C"/>
    <w:rsid w:val="0015074B"/>
    <w:rsid w:val="0029639D"/>
    <w:rsid w:val="00326F90"/>
    <w:rsid w:val="00402A33"/>
    <w:rsid w:val="004B58E4"/>
    <w:rsid w:val="00595A97"/>
    <w:rsid w:val="0060284B"/>
    <w:rsid w:val="0082770F"/>
    <w:rsid w:val="00855E45"/>
    <w:rsid w:val="00873431"/>
    <w:rsid w:val="008F33F4"/>
    <w:rsid w:val="00911F18"/>
    <w:rsid w:val="00A32CEB"/>
    <w:rsid w:val="00A62E4C"/>
    <w:rsid w:val="00AA1D8D"/>
    <w:rsid w:val="00AC3400"/>
    <w:rsid w:val="00B47730"/>
    <w:rsid w:val="00C36752"/>
    <w:rsid w:val="00C632F5"/>
    <w:rsid w:val="00C91B77"/>
    <w:rsid w:val="00CB0664"/>
    <w:rsid w:val="00E46B15"/>
    <w:rsid w:val="00E6701C"/>
    <w:rsid w:val="00EB14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1A7CA"/>
  <w14:defaultImageDpi w14:val="300"/>
  <w15:docId w15:val="{58D09419-F6CF-45A1-BC01-F096A1607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850</Words>
  <Characters>4848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Wuhao Xia</cp:lastModifiedBy>
  <cp:revision>18</cp:revision>
  <dcterms:created xsi:type="dcterms:W3CDTF">2013-12-23T23:15:00Z</dcterms:created>
  <dcterms:modified xsi:type="dcterms:W3CDTF">2026-03-10T04:36:00Z</dcterms:modified>
  <cp:category/>
</cp:coreProperties>
</file>