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F3864"/>
          <w:sz w:val="48"/>
          <w:szCs w:val="48"/>
        </w:rPr>
        <w:t xml:space="preserve">Draft AI Governance Review</w:t>
      </w:r>
    </w:p>
    <w:p>
      <w:pPr>
        <w:spacing w:before="0" w:after="80"/>
        <w:jc w:val="center"/>
      </w:pPr>
      <w:r>
        <w:rPr>
          <w:rFonts w:ascii="Arial" w:cs="Arial" w:eastAsia="Arial" w:hAnsi="Arial"/>
          <w:color w:val="2F5496"/>
          <w:sz w:val="28"/>
          <w:szCs w:val="28"/>
        </w:rPr>
        <w:t xml:space="preserve">DocuWare Intelligent Document Processing (IDP) for Accounting</w:t>
      </w:r>
    </w:p>
    <w:p>
      <w:pPr>
        <w:spacing w:before="0" w:after="480"/>
        <w:jc w:val="center"/>
      </w:pPr>
      <w:r>
        <w:rPr>
          <w:rFonts w:ascii="Arial" w:cs="Arial" w:eastAsia="Arial" w:hAnsi="Arial"/>
          <w:color w:val="595959"/>
          <w:sz w:val="20"/>
          <w:szCs w:val="20"/>
        </w:rPr>
        <w:t xml:space="preserve">Date: March 17, 2026    |    Status: Preliminary Review</w:t>
      </w:r>
    </w:p>
    <w:p>
      <w:pPr>
        <w:pBdr>
          <w:bottom w:val="single" w:color="1F3864"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FF2CC" w:val="clear"/>
            <w:tcMar>
              <w:top w:type="dxa" w:w="120"/>
              <w:left w:type="dxa" w:w="160"/>
              <w:bottom w:type="dxa" w:w="120"/>
              <w:right w:type="dxa" w:w="160"/>
            </w:tcMar>
          </w:tcPr>
          <w:p>
            <w:r>
              <w:rPr>
                <w:rFonts w:ascii="Arial" w:cs="Arial" w:eastAsia="Arial" w:hAnsi="Arial"/>
                <w:b w:val="false"/>
                <w:bCs w:val="false"/>
                <w:color w:val="7F0000"/>
                <w:sz w:val="18"/>
                <w:szCs w:val="18"/>
              </w:rPr>
              <w:t xml:space="preserve">IMPORTANT DISCLAIMER: This review supports AI governance processes but does not replace formal legal review. This output is a draft and may contain errors or omissions. Verify all conclusions against company policies, primary regulatory sources, and the appropriate internal legal, privacy, security, and compliance teams.</w:t>
            </w:r>
          </w:p>
        </w:tc>
      </w:tr>
    </w:tbl>
    <w:p>
      <w:pPr>
        <w:spacing w:before="240" w:after="0"/>
      </w:pPr>
    </w:p>
    <w:p>
      <w:pPr>
        <w:pStyle w:val="Heading1"/>
        <w:spacing w:before="360" w:after="200"/>
      </w:pPr>
      <w:r>
        <w:rPr>
          <w:rFonts w:ascii="Arial" w:cs="Arial" w:eastAsia="Arial" w:hAnsi="Arial"/>
          <w:b/>
          <w:bCs/>
          <w:sz w:val="32"/>
          <w:szCs w:val="32"/>
        </w:rPr>
        <w:t xml:space="preserve">1. Requested AI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Use Case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Intelligent Document Processing for internal accounting operations — automated extraction, classification, and indexing of data from supplier invoices, employee expense claims, and contracts.</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AI Vendor (SaaS deployment)</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Organization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deployer — using DocuWare IDP for own accounting team</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Intended 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accounting and finance staff</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Model / Vendor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DocuWare Cloud (vendor-hosted SaaS) — uses OCR, machine learning, and rules-based classification</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Data Types Involved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Supplier/vendor contact details (personal data); financial transaction data; employee expense data; contract documents</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Deployment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DocuWare Cloud — vendor-hosted SaaS; no on-premises component</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Human Oversight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YET DECIDED — critical gap requiring resolution before go-live</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Testing &amp; 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Pre-deployment; no testing conducted; monitoring plan not yet defined</w:t>
            </w:r>
          </w:p>
        </w:tc>
      </w:tr>
      <w:tr>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r>
              <w:rPr>
                <w:rFonts w:ascii="Arial" w:cs="Arial" w:eastAsia="Arial" w:hAnsi="Arial"/>
                <w:b/>
                <w:bCs/>
                <w:sz w:val="18"/>
                <w:szCs w:val="18"/>
              </w:rPr>
              <w:t xml:space="preserve">Documents Reviewed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Acceptable Use Policy (confirmed); DPA / Privacy Addendum with DocuWare (confirmed); Vendor procurement review process (confirmed). DocuWare product documentation and marketing materials reviewed as secondary reference.</w:t>
            </w:r>
          </w:p>
        </w:tc>
      </w:tr>
    </w:tbl>
    <w:p>
      <w:pPr>
        <w:spacing w:before="240" w:after="0"/>
      </w:pPr>
    </w:p>
    <w:p>
      <w:pPr>
        <w:pStyle w:val="Heading1"/>
        <w:spacing w:before="360" w:after="200"/>
      </w:pPr>
      <w:r>
        <w:rPr>
          <w:rFonts w:ascii="Arial" w:cs="Arial" w:eastAsia="Arial" w:hAnsi="Arial"/>
          <w:b/>
          <w:bCs/>
          <w:sz w:val="32"/>
          <w:szCs w:val="32"/>
        </w:rPr>
        <w:t xml:space="preserve">2. Review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5700" w:sz="6"/>
              <w:left w:val="single" w:color="9C5700" w:sz="6"/>
              <w:bottom w:val="single" w:color="9C5700" w:sz="6"/>
              <w:right w:val="single" w:color="9C5700" w:sz="6"/>
            </w:tcBorders>
            <w:shd w:fill="FFEB9C" w:val="clear"/>
            <w:tcMar>
              <w:top w:type="dxa" w:w="120"/>
              <w:left w:type="dxa" w:w="160"/>
              <w:bottom w:type="dxa" w:w="120"/>
              <w:right w:type="dxa" w:w="160"/>
            </w:tcMar>
          </w:tcPr>
          <w:p>
            <w:r>
              <w:rPr>
                <w:rFonts w:ascii="Arial" w:cs="Arial" w:eastAsia="Arial" w:hAnsi="Arial"/>
                <w:b/>
                <w:bCs/>
                <w:color w:val="9C5700"/>
                <w:sz w:val="24"/>
                <w:szCs w:val="24"/>
              </w:rPr>
              <w:t xml:space="preserve">PRELIMINARY REVIEW</w:t>
            </w:r>
          </w:p>
          <w:p>
            <w:r>
              <w:rPr>
                <w:rFonts w:ascii="Arial" w:cs="Arial" w:eastAsia="Arial" w:hAnsi="Arial"/>
                <w:color w:val="7F4700"/>
                <w:sz w:val="18"/>
                <w:szCs w:val="18"/>
              </w:rPr>
              <w:t xml:space="preserve">This review is preliminary. The following material facts remain unknown or unresolved:</w:t>
            </w:r>
          </w:p>
          <w:p>
            <w:pPr>
              <w:pStyle w:val="ListParagraph"/>
              <w:numPr>
                <w:ilvl w:val="0"/>
                <w:numId w:val="2"/>
              </w:numPr>
            </w:pPr>
            <w:r>
              <w:rPr>
                <w:rFonts w:ascii="Arial" w:cs="Arial" w:eastAsia="Arial" w:hAnsi="Arial"/>
                <w:color w:val="7F4700"/>
                <w:sz w:val="18"/>
                <w:szCs w:val="18"/>
              </w:rPr>
              <w:t xml:space="preserve">Human oversight model is undecided — whether outputs are auto-posted or human-reviewed is unknown.</w:t>
            </w:r>
          </w:p>
          <w:p>
            <w:pPr>
              <w:pStyle w:val="ListParagraph"/>
              <w:numPr>
                <w:ilvl w:val="0"/>
                <w:numId w:val="2"/>
              </w:numPr>
            </w:pPr>
            <w:r>
              <w:rPr>
                <w:rFonts w:ascii="Arial" w:cs="Arial" w:eastAsia="Arial" w:hAnsi="Arial"/>
                <w:color w:val="7F4700"/>
                <w:sz w:val="18"/>
                <w:szCs w:val="18"/>
              </w:rPr>
              <w:t xml:space="preserve">No testing, UAT, or accuracy validation has been conducted.</w:t>
            </w:r>
          </w:p>
          <w:p>
            <w:pPr>
              <w:pStyle w:val="ListParagraph"/>
              <w:numPr>
                <w:ilvl w:val="0"/>
                <w:numId w:val="2"/>
              </w:numPr>
            </w:pPr>
            <w:r>
              <w:rPr>
                <w:rFonts w:ascii="Arial" w:cs="Arial" w:eastAsia="Arial" w:hAnsi="Arial"/>
                <w:color w:val="7F4700"/>
                <w:sz w:val="18"/>
                <w:szCs w:val="18"/>
              </w:rPr>
              <w:t xml:space="preserve">DocuWare's training-data rights and subprocessor list have not been reviewed.</w:t>
            </w:r>
          </w:p>
          <w:p>
            <w:pPr>
              <w:pStyle w:val="ListParagraph"/>
              <w:numPr>
                <w:ilvl w:val="0"/>
                <w:numId w:val="2"/>
              </w:numPr>
            </w:pPr>
            <w:r>
              <w:rPr>
                <w:rFonts w:ascii="Arial" w:cs="Arial" w:eastAsia="Arial" w:hAnsi="Arial"/>
                <w:color w:val="7F4700"/>
                <w:sz w:val="18"/>
                <w:szCs w:val="18"/>
              </w:rPr>
              <w:t xml:space="preserve">Incident response and post-launch monitoring plans are not defined.</w:t>
            </w:r>
          </w:p>
          <w:p>
            <w:pPr>
              <w:pStyle w:val="ListParagraph"/>
              <w:numPr>
                <w:ilvl w:val="0"/>
                <w:numId w:val="2"/>
              </w:numPr>
            </w:pPr>
            <w:r>
              <w:rPr>
                <w:rFonts w:ascii="Arial" w:cs="Arial" w:eastAsia="Arial" w:hAnsi="Arial"/>
                <w:color w:val="7F4700"/>
                <w:sz w:val="18"/>
                <w:szCs w:val="18"/>
              </w:rPr>
              <w:t xml:space="preserve">AI impact assessment has not been confirmed.</w:t>
            </w:r>
          </w:p>
          <w:p>
            <w:pPr>
              <w:pStyle w:val="ListParagraph"/>
              <w:numPr>
                <w:ilvl w:val="0"/>
                <w:numId w:val="2"/>
              </w:numPr>
            </w:pPr>
            <w:r>
              <w:rPr>
                <w:rFonts w:ascii="Arial" w:cs="Arial" w:eastAsia="Arial" w:hAnsi="Arial"/>
                <w:color w:val="7F4700"/>
                <w:sz w:val="18"/>
                <w:szCs w:val="18"/>
              </w:rPr>
              <w:t xml:space="preserve">Review cannot be elevated to Final Review until these gaps are closed.</w:t>
            </w:r>
          </w:p>
        </w:tc>
      </w:tr>
    </w:tbl>
    <w:p>
      <w:pPr>
        <w:spacing w:before="240" w:after="0"/>
      </w:pPr>
    </w:p>
    <w:p>
      <w:pPr>
        <w:pStyle w:val="Heading1"/>
        <w:spacing w:before="360" w:after="200"/>
      </w:pPr>
      <w:r>
        <w:rPr>
          <w:rFonts w:ascii="Arial" w:cs="Arial" w:eastAsia="Arial" w:hAnsi="Arial"/>
          <w:b/>
          <w:bCs/>
          <w:sz w:val="32"/>
          <w:szCs w:val="32"/>
        </w:rPr>
        <w:t xml:space="preserve">3. Governance Scorecard</w:t>
      </w:r>
    </w:p>
    <w:p>
      <w:pPr>
        <w:pStyle w:val="Heading2"/>
        <w:spacing w:before="280" w:after="140"/>
      </w:pPr>
      <w:r>
        <w:rPr>
          <w:rFonts w:ascii="Arial" w:cs="Arial" w:eastAsia="Arial" w:hAnsi="Arial"/>
          <w:b/>
          <w:bCs/>
          <w:color w:val="1F3864"/>
          <w:sz w:val="26"/>
          <w:szCs w:val="26"/>
        </w:rPr>
        <w:t xml:space="preserve">Table A — Risk and Evidence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700"/>
        <w:gridCol w:w="900"/>
        <w:gridCol w:w="1000"/>
        <w:gridCol w:w="3060"/>
      </w:tblGrid>
      <w:tr>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Category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Key Question</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Status</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Inherent Risk</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Residual Risk</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Evidence Provided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Feature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type of AI is this?</w:t>
            </w:r>
          </w:p>
        </w:tc>
        <w:tc>
          <w:tcPr>
            <w:tcW w:type="dxa" w:w="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Pass</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Low</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DocuWare IDP product documentation; vendor marketing materials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EU AI Act Risk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risk tier applies?</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Use-case description; EU AI Act Article 6 and Annex III analysis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Prohibited Use Screening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Are any prohibited uses implicated?</w:t>
            </w:r>
          </w:p>
        </w:tc>
        <w:tc>
          <w:tcPr>
            <w:tcW w:type="dxa" w:w="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Pass</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Low</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color w:val="276221"/>
                <w:sz w:val="18"/>
                <w:szCs w:val="18"/>
              </w:rPr>
              <w:t xml:space="preserve">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EU AI Act Articles 5–6; use-case description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Transparency Obligations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disclosures are required?</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Internal user deployment context; AI AUP confirmed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Training Data and 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Are data rights and IP risks addressed?</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DPA confirmed; subprocessor list and training-rights terms not reviewed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Human Oversight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 meaningful oversight in place?</w:t>
            </w:r>
          </w:p>
        </w:tc>
        <w:tc>
          <w:tcPr>
            <w:tcW w:type="dxa" w:w="7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Fail</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High</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Oversight model not yet decided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Testing Evidence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Has adequate testing been conducted?</w:t>
            </w:r>
          </w:p>
        </w:tc>
        <w:tc>
          <w:tcPr>
            <w:tcW w:type="dxa" w:w="7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Fail</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High</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Pre-deployment; no testing evidence provided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Incident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 incident response and monitoring in place?</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High</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DPA confirmed; incident and monitoring plan not reviewed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Governance Approvals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Have required approvals been obtained?</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 AUP and vendor review process confirmed; AI impact assessment unknown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Beyond AI-Specific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non-AI legal domains apply?</w:t>
            </w:r>
          </w:p>
        </w:tc>
        <w:tc>
          <w:tcPr>
            <w:tcW w:type="dxa" w:w="7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Partial</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 privacy law; employment law; financial records compliance</w:t>
            </w:r>
          </w:p>
        </w:tc>
      </w:tr>
    </w:tbl>
    <w:p>
      <w:pPr>
        <w:spacing w:before="240" w:after="0"/>
      </w:pPr>
    </w:p>
    <w:p>
      <w:pPr>
        <w:pStyle w:val="Heading2"/>
        <w:spacing w:before="280" w:after="140"/>
      </w:pPr>
      <w:r>
        <w:rPr>
          <w:rFonts w:ascii="Arial" w:cs="Arial" w:eastAsia="Arial" w:hAnsi="Arial"/>
          <w:b/>
          <w:bCs/>
          <w:color w:val="1F3864"/>
          <w:sz w:val="26"/>
          <w:szCs w:val="26"/>
        </w:rPr>
        <w:t xml:space="preserve">Table B — Findings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660"/>
        <w:gridCol w:w="800"/>
        <w:gridCol w:w="13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Category</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Key Question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Missing Evidence</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Findings</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Confidence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18"/>
                <w:szCs w:val="18"/>
              </w:rPr>
              <w:t xml:space="preserve">Required 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Feature Classification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type of AI is this?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Model card; vendor technical documentation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DocuWare IDP is a narrow AI system using OCR, ML, and rules-based classification to extract and index structured data from accounting documents. Not a GPAI or foundation model.</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 / Technology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EU AI Act Risk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risk tier applies?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EU AI Act applicability confirmation; legal opinion on US-entity obligations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Processing of contracts and employee expense claims may engage EU AI Act Annex III employment-related system categories depending on use. Supplier invoice processing is likely Limited or Minimal risk. Contracts and expense claims require closer analysis, especially if AI outputs influence employment-related decisions. EU AI Act does not directly bind US-only entities, but should be monitored for supply-chain and customer obligations.</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 / Privacy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Prohibited Use Screening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Are any prohibited uses implicated?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None identified; confirm use case stays within document processing scope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prohibited uses identified. Use case is document capture and data extraction, not manipulation, profiling, or real-time biometric surveillance.</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Transparency Obligations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disclosures are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Internal user disclosure language; confirmation that staff know AI is processing their expense claims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 AUP exists. Employees submitting expense claims should be informed that AI processes their submissions. No customer-facing disclosure required given internal-only deployment.</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HR / Legal / Compliance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Training Data and 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Are data rights and IP risks addressed?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DocuWare DPA: confirm vendor cannot use customer data for model training; subprocessor list; data retention schedule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DPA exists. Key open question is whether DocuWare retains rights to use processed documents or extracted data for model training or improvement. Supplier contact data is personal data under applicable US privacy law and must be governed under the DPA.</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 / Privacy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Human Oversight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 meaningful oversight in 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Defined oversight model; escalation and override procedures; approval workflow before financial posting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Critical gap. Oversight model is undecided. Financial document processing without defined human review creates risk of erroneous postings, undetected fraud, and regulatory non-compliance. This must be resolved before go-live.</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Finance / Operations / Legal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Testing Evidence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Has adequate testing been conducted?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Extraction accuracy testing results; failure-mode analysis; UAT plan; regression testing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Pre-deployment. No testing evidence exists. Extraction accuracy, failure modes, and edge cases must be tested before production use, particularly for contracts and employee expense claims where errors have legal and financial consequences.</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Technology / Finance / Legal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Incident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 incident response and monitoring in 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DocuWare incident notification SLA; internal AI incident response playbook; post-launch monitoring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DPA exists, which likely covers data incident notification. Unclear whether vendor incident notice covers AI-specific failures (e.g. systematic extraction errors). Internal monitoring plan for output quality is not yet defined.</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val="false"/>
                <w:bCs w:val="false"/>
                <w:color w:val="9C0006"/>
                <w:sz w:val="18"/>
                <w:szCs w:val="18"/>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IT Security / Compliance / Finance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Governance Approvals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Have required approvals been obtained?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AI impact assessment; named internal owners for Finance, Legal, IT, Privacy; documented approval record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AI AUP and vendor procurement review process are in place, which is a strong foundation. No evidence of an AI impact assessment or formal go-live approval. Internal ownership across Finance, Legal, IT, and Privacy should be confirmed and documented.</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Compliance / Legal / Finance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Beyond AI-Specific Law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What non-AI legal domains apply?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0000"/>
                <w:sz w:val="18"/>
                <w:szCs w:val="18"/>
              </w:rPr>
              <w:t xml:space="preserve">US state privacy law analysis (if vendor processes CA, TX, VA resident data); employment counsel review of expense-claim processing; financial records retention confirmation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Supplier contact data implicates US privacy frameworks (CCPA if California-nexus, and similar state laws). Employee expense data implicates employment law and must comply with applicable record-retention rules. Contracts processed by AI raise questions about privilege, confidentiality, and whether AI-assisted review alters legal obligations.</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color w:val="9C5700"/>
                <w:sz w:val="18"/>
                <w:szCs w:val="18"/>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 / Privacy / HR / Finance</w:t>
            </w:r>
          </w:p>
        </w:tc>
      </w:tr>
    </w:tbl>
    <w:p>
      <w:pPr>
        <w:spacing w:before="240" w:after="0"/>
      </w:pPr>
    </w:p>
    <w:p>
      <w:pPr>
        <w:pStyle w:val="Heading1"/>
        <w:spacing w:before="360" w:after="200"/>
      </w:pPr>
      <w:r>
        <w:rPr>
          <w:rFonts w:ascii="Arial" w:cs="Arial" w:eastAsia="Arial" w:hAnsi="Arial"/>
          <w:b/>
          <w:bCs/>
          <w:sz w:val="32"/>
          <w:szCs w:val="32"/>
        </w:rPr>
        <w:t xml:space="preserve">4. Remediation Checklist</w:t>
      </w:r>
    </w:p>
    <w:p>
      <w:pPr>
        <w:spacing w:before="80" w:after="80"/>
      </w:pPr>
      <w:r>
        <w:rPr>
          <w:rFonts w:ascii="Arial" w:cs="Arial" w:eastAsia="Arial" w:hAnsi="Arial"/>
          <w:b w:val="false"/>
          <w:bCs w:val="false"/>
          <w:color w:val="595959"/>
          <w:sz w:val="20"/>
          <w:szCs w:val="20"/>
        </w:rPr>
        <w:t xml:space="preserve">The following actions must be completed before go-live. Items marked with ⚠ are blocking issues that must be resolved first.</w:t>
      </w:r>
    </w:p>
    <w:p>
      <w:pPr>
        <w:spacing w:before="80" w:after="0"/>
      </w:pPr>
    </w:p>
    <w:p>
      <w:pPr>
        <w:spacing w:before="80" w:after="80"/>
      </w:pPr>
      <w:r>
        <w:rPr>
          <w:rFonts w:ascii="Arial" w:cs="Arial" w:eastAsia="Arial" w:hAnsi="Arial"/>
          <w:b/>
          <w:bCs/>
          <w:color w:val="C00000"/>
          <w:sz w:val="20"/>
          <w:szCs w:val="20"/>
        </w:rPr>
        <w:t xml:space="preserve">BLOCKING — Must resolve before go-live:</w:t>
      </w:r>
    </w:p>
    <w:p>
      <w:pPr>
        <w:pStyle w:val="ListParagraph"/>
        <w:numPr>
          <w:ilvl w:val="0"/>
          <w:numId w:val="3"/>
        </w:numPr>
        <w:spacing w:before="40" w:after="40"/>
      </w:pPr>
      <w:r>
        <w:rPr>
          <w:rFonts w:ascii="Arial" w:cs="Arial" w:eastAsia="Arial" w:hAnsi="Arial"/>
          <w:sz w:val="20"/>
          <w:szCs w:val="20"/>
        </w:rPr>
        <w:t xml:space="preserve">⚠ Define and document the human oversight model — determine whether outputs require human review before financial posting, or whether straight-through processing is acceptable, and document the rationale.</w:t>
      </w:r>
    </w:p>
    <w:p>
      <w:pPr>
        <w:pStyle w:val="ListParagraph"/>
        <w:numPr>
          <w:ilvl w:val="0"/>
          <w:numId w:val="3"/>
        </w:numPr>
        <w:spacing w:before="40" w:after="40"/>
      </w:pPr>
      <w:r>
        <w:rPr>
          <w:rFonts w:ascii="Arial" w:cs="Arial" w:eastAsia="Arial" w:hAnsi="Arial"/>
          <w:sz w:val="20"/>
          <w:szCs w:val="20"/>
        </w:rPr>
        <w:t xml:space="preserve">⚠ Conduct extraction accuracy testing and user acceptance testing (UAT) across all three document types (invoices, expense claims, contracts) before production deployment.</w:t>
      </w:r>
    </w:p>
    <w:p>
      <w:pPr>
        <w:pStyle w:val="ListParagraph"/>
        <w:numPr>
          <w:ilvl w:val="0"/>
          <w:numId w:val="3"/>
        </w:numPr>
        <w:spacing w:before="40" w:after="40"/>
      </w:pPr>
      <w:r>
        <w:rPr>
          <w:rFonts w:ascii="Arial" w:cs="Arial" w:eastAsia="Arial" w:hAnsi="Arial"/>
          <w:sz w:val="20"/>
          <w:szCs w:val="20"/>
        </w:rPr>
        <w:t xml:space="preserve">⚠ Review DocuWare's DPA to confirm vendor has no right to use customer documents or extracted data for model training or product improvement.</w:t>
      </w:r>
    </w:p>
    <w:p>
      <w:pPr>
        <w:pStyle w:val="ListParagraph"/>
        <w:numPr>
          <w:ilvl w:val="0"/>
          <w:numId w:val="3"/>
        </w:numPr>
        <w:spacing w:before="40" w:after="40"/>
      </w:pPr>
      <w:r>
        <w:rPr>
          <w:rFonts w:ascii="Arial" w:cs="Arial" w:eastAsia="Arial" w:hAnsi="Arial"/>
          <w:sz w:val="20"/>
          <w:szCs w:val="20"/>
        </w:rPr>
        <w:t xml:space="preserve">⚠ Obtain DocuWare's current subprocessor list and confirm data hosting regions (US-only vs. cross-border).</w:t>
      </w:r>
    </w:p>
    <w:p>
      <w:pPr>
        <w:pStyle w:val="ListParagraph"/>
        <w:numPr>
          <w:ilvl w:val="0"/>
          <w:numId w:val="3"/>
        </w:numPr>
        <w:spacing w:before="40" w:after="40"/>
      </w:pPr>
      <w:r>
        <w:rPr>
          <w:rFonts w:ascii="Arial" w:cs="Arial" w:eastAsia="Arial" w:hAnsi="Arial"/>
          <w:sz w:val="20"/>
          <w:szCs w:val="20"/>
        </w:rPr>
        <w:t xml:space="preserve">⚠ Define an internal incident response procedure covering AI extraction failures, erroneous postings, and data incidents.</w:t>
      </w:r>
    </w:p>
    <w:p>
      <w:pPr>
        <w:spacing w:before="80" w:after="0"/>
      </w:pPr>
    </w:p>
    <w:p>
      <w:pPr>
        <w:spacing w:before="80" w:after="80"/>
      </w:pPr>
      <w:r>
        <w:rPr>
          <w:rFonts w:ascii="Arial" w:cs="Arial" w:eastAsia="Arial" w:hAnsi="Arial"/>
          <w:b/>
          <w:bCs/>
          <w:color w:val="9C5700"/>
          <w:sz w:val="20"/>
          <w:szCs w:val="20"/>
        </w:rPr>
        <w:t xml:space="preserve">Required before or shortly after go-live:</w:t>
      </w:r>
    </w:p>
    <w:p>
      <w:pPr>
        <w:pStyle w:val="ListParagraph"/>
        <w:numPr>
          <w:ilvl w:val="0"/>
          <w:numId w:val="3"/>
        </w:numPr>
        <w:spacing w:before="40" w:after="40"/>
      </w:pPr>
      <w:r>
        <w:rPr>
          <w:rFonts w:ascii="Arial" w:cs="Arial" w:eastAsia="Arial" w:hAnsi="Arial"/>
          <w:sz w:val="20"/>
          <w:szCs w:val="20"/>
        </w:rPr>
        <w:t xml:space="preserve">Complete an AI impact assessment covering the three document types, with particular focus on employee expense claims and contracts.</w:t>
      </w:r>
    </w:p>
    <w:p>
      <w:pPr>
        <w:pStyle w:val="ListParagraph"/>
        <w:numPr>
          <w:ilvl w:val="0"/>
          <w:numId w:val="3"/>
        </w:numPr>
        <w:spacing w:before="40" w:after="40"/>
      </w:pPr>
      <w:r>
        <w:rPr>
          <w:rFonts w:ascii="Arial" w:cs="Arial" w:eastAsia="Arial" w:hAnsi="Arial"/>
          <w:sz w:val="20"/>
          <w:szCs w:val="20"/>
        </w:rPr>
        <w:t xml:space="preserve">Confirm named internal owners across Finance, Legal, IT/Security, and Privacy for this deployment.</w:t>
      </w:r>
    </w:p>
    <w:p>
      <w:pPr>
        <w:pStyle w:val="ListParagraph"/>
        <w:numPr>
          <w:ilvl w:val="0"/>
          <w:numId w:val="3"/>
        </w:numPr>
        <w:spacing w:before="40" w:after="40"/>
      </w:pPr>
      <w:r>
        <w:rPr>
          <w:rFonts w:ascii="Arial" w:cs="Arial" w:eastAsia="Arial" w:hAnsi="Arial"/>
          <w:sz w:val="20"/>
          <w:szCs w:val="20"/>
        </w:rPr>
        <w:t xml:space="preserve">Confirm and document the go-live approval record involving relevant internal stakeholders.</w:t>
      </w:r>
    </w:p>
    <w:p>
      <w:pPr>
        <w:pStyle w:val="ListParagraph"/>
        <w:numPr>
          <w:ilvl w:val="0"/>
          <w:numId w:val="3"/>
        </w:numPr>
        <w:spacing w:before="40" w:after="40"/>
      </w:pPr>
      <w:r>
        <w:rPr>
          <w:rFonts w:ascii="Arial" w:cs="Arial" w:eastAsia="Arial" w:hAnsi="Arial"/>
          <w:sz w:val="20"/>
          <w:szCs w:val="20"/>
        </w:rPr>
        <w:t xml:space="preserve">Define a post-launch monitoring plan — including how extraction accuracy will be tracked over time and what thresholds trigger remediation.</w:t>
      </w:r>
    </w:p>
    <w:p>
      <w:pPr>
        <w:pStyle w:val="ListParagraph"/>
        <w:numPr>
          <w:ilvl w:val="0"/>
          <w:numId w:val="3"/>
        </w:numPr>
        <w:spacing w:before="40" w:after="40"/>
      </w:pPr>
      <w:r>
        <w:rPr>
          <w:rFonts w:ascii="Arial" w:cs="Arial" w:eastAsia="Arial" w:hAnsi="Arial"/>
          <w:sz w:val="20"/>
          <w:szCs w:val="20"/>
        </w:rPr>
        <w:t xml:space="preserve">Notify internal employees that their expense claims are processed by AI, in line with the existing AI AUP and applicable transparency obligations.</w:t>
      </w:r>
    </w:p>
    <w:p>
      <w:pPr>
        <w:pStyle w:val="ListParagraph"/>
        <w:numPr>
          <w:ilvl w:val="0"/>
          <w:numId w:val="3"/>
        </w:numPr>
        <w:spacing w:before="40" w:after="40"/>
      </w:pPr>
      <w:r>
        <w:rPr>
          <w:rFonts w:ascii="Arial" w:cs="Arial" w:eastAsia="Arial" w:hAnsi="Arial"/>
          <w:sz w:val="20"/>
          <w:szCs w:val="20"/>
        </w:rPr>
        <w:t xml:space="preserve">Review DocuWare's incident notification SLA and confirm it covers AI-specific failure modes, not only data breaches.</w:t>
      </w:r>
    </w:p>
    <w:p>
      <w:pPr>
        <w:pStyle w:val="ListParagraph"/>
        <w:numPr>
          <w:ilvl w:val="0"/>
          <w:numId w:val="3"/>
        </w:numPr>
        <w:spacing w:before="40" w:after="40"/>
      </w:pPr>
      <w:r>
        <w:rPr>
          <w:rFonts w:ascii="Arial" w:cs="Arial" w:eastAsia="Arial" w:hAnsi="Arial"/>
          <w:sz w:val="20"/>
          <w:szCs w:val="20"/>
        </w:rPr>
        <w:t xml:space="preserve">Conduct a US state privacy law review — confirm whether CCPA or other state privacy laws apply to supplier contact data processed by DocuWare.</w:t>
      </w:r>
    </w:p>
    <w:p>
      <w:pPr>
        <w:pStyle w:val="ListParagraph"/>
        <w:numPr>
          <w:ilvl w:val="0"/>
          <w:numId w:val="3"/>
        </w:numPr>
        <w:spacing w:before="40" w:after="40"/>
      </w:pPr>
      <w:r>
        <w:rPr>
          <w:rFonts w:ascii="Arial" w:cs="Arial" w:eastAsia="Arial" w:hAnsi="Arial"/>
          <w:sz w:val="20"/>
          <w:szCs w:val="20"/>
        </w:rPr>
        <w:t xml:space="preserve">Obtain employment counsel review of AI-assisted processing of employee expense claims.</w:t>
      </w:r>
    </w:p>
    <w:p>
      <w:pPr>
        <w:pStyle w:val="ListParagraph"/>
        <w:numPr>
          <w:ilvl w:val="0"/>
          <w:numId w:val="3"/>
        </w:numPr>
        <w:spacing w:before="40" w:after="40"/>
      </w:pPr>
      <w:r>
        <w:rPr>
          <w:rFonts w:ascii="Arial" w:cs="Arial" w:eastAsia="Arial" w:hAnsi="Arial"/>
          <w:sz w:val="20"/>
          <w:szCs w:val="20"/>
        </w:rPr>
        <w:t xml:space="preserve">Confirm financial records retention compliance — ensure AI-processed documents meet applicable record-keeping obligations.</w:t>
      </w:r>
    </w:p>
    <w:p>
      <w:pPr>
        <w:pStyle w:val="ListParagraph"/>
        <w:numPr>
          <w:ilvl w:val="0"/>
          <w:numId w:val="3"/>
        </w:numPr>
        <w:spacing w:before="40" w:after="40"/>
      </w:pPr>
      <w:r>
        <w:rPr>
          <w:rFonts w:ascii="Arial" w:cs="Arial" w:eastAsia="Arial" w:hAnsi="Arial"/>
          <w:sz w:val="20"/>
          <w:szCs w:val="20"/>
        </w:rPr>
        <w:t xml:space="preserve">Define a regression testing and change-management plan for DocuWare model updates.</w:t>
      </w:r>
    </w:p>
    <w:p>
      <w:pPr>
        <w:pStyle w:val="ListParagraph"/>
        <w:numPr>
          <w:ilvl w:val="0"/>
          <w:numId w:val="3"/>
        </w:numPr>
        <w:spacing w:before="40" w:after="40"/>
      </w:pPr>
      <w:r>
        <w:rPr>
          <w:rFonts w:ascii="Arial" w:cs="Arial" w:eastAsia="Arial" w:hAnsi="Arial"/>
          <w:sz w:val="20"/>
          <w:szCs w:val="20"/>
        </w:rPr>
        <w:t xml:space="preserve">Deliver role-based AI literacy training to accounting staff who will rely on IDP outputs.</w:t>
      </w:r>
    </w:p>
    <w:p>
      <w:pPr>
        <w:spacing w:before="240" w:after="0"/>
      </w:pPr>
    </w:p>
    <w:p>
      <w:pPr>
        <w:pStyle w:val="Heading1"/>
        <w:spacing w:before="360" w:after="200"/>
      </w:pPr>
      <w:r>
        <w:rPr>
          <w:rFonts w:ascii="Arial" w:cs="Arial" w:eastAsia="Arial" w:hAnsi="Arial"/>
          <w:b/>
          <w:bCs/>
          <w:sz w:val="32"/>
          <w:szCs w:val="32"/>
        </w:rPr>
        <w:t xml:space="preserve">5. Risk 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6"/>
              <w:left w:val="single" w:color="9C0006" w:sz="6"/>
              <w:bottom w:val="single" w:color="9C0006" w:sz="6"/>
              <w:right w:val="single" w:color="9C0006" w:sz="6"/>
            </w:tcBorders>
            <w:shd w:fill="FFC7CE" w:val="clear"/>
            <w:tcMar>
              <w:top w:type="dxa" w:w="120"/>
              <w:left w:type="dxa" w:w="160"/>
              <w:bottom w:type="dxa" w:w="120"/>
              <w:right w:type="dxa" w:w="160"/>
            </w:tcMar>
          </w:tcPr>
          <w:p>
            <w:r>
              <w:rPr>
                <w:rFonts w:ascii="Arial" w:cs="Arial" w:eastAsia="Arial" w:hAnsi="Arial"/>
                <w:b/>
                <w:bCs/>
                <w:color w:val="9C0006"/>
                <w:sz w:val="24"/>
                <w:szCs w:val="24"/>
              </w:rPr>
              <w:t xml:space="preserve">Overall Confidence: LOW</w:t>
            </w:r>
          </w:p>
        </w:tc>
      </w:tr>
    </w:tbl>
    <w:p>
      <w:pPr>
        <w:spacing w:before="120" w:after="0"/>
      </w:pPr>
    </w:p>
    <w:p>
      <w:pPr>
        <w:spacing w:before="80" w:after="80"/>
      </w:pPr>
      <w:r>
        <w:rPr>
          <w:rFonts w:ascii="Arial" w:cs="Arial" w:eastAsia="Arial" w:hAnsi="Arial"/>
          <w:b w:val="false"/>
          <w:bCs w:val="false"/>
          <w:color w:val="000000"/>
          <w:sz w:val="20"/>
          <w:szCs w:val="20"/>
        </w:rPr>
        <w:t xml:space="preserve">Confidence is Low overall because two critical control areas — human oversight and pre-launch testing — are entirely unresolved at this stage. Specifically:</w:t>
      </w:r>
    </w:p>
    <w:p>
      <w:pPr>
        <w:pStyle w:val="ListParagraph"/>
        <w:numPr>
          <w:ilvl w:val="0"/>
          <w:numId w:val="2"/>
        </w:numPr>
        <w:spacing w:before="40" w:after="40"/>
      </w:pPr>
      <w:r>
        <w:rPr>
          <w:rFonts w:ascii="Arial" w:cs="Arial" w:eastAsia="Arial" w:hAnsi="Arial"/>
          <w:sz w:val="20"/>
          <w:szCs w:val="20"/>
        </w:rPr>
        <w:t xml:space="preserve">The human oversight model has not been decided. For a financial document processing system, this is a blocking risk: erroneous extractions posted without human review could result in incorrect payments, undetected fraud, or audit failures.</w:t>
      </w:r>
    </w:p>
    <w:p>
      <w:pPr>
        <w:pStyle w:val="ListParagraph"/>
        <w:numPr>
          <w:ilvl w:val="0"/>
          <w:numId w:val="2"/>
        </w:numPr>
        <w:spacing w:before="40" w:after="40"/>
      </w:pPr>
      <w:r>
        <w:rPr>
          <w:rFonts w:ascii="Arial" w:cs="Arial" w:eastAsia="Arial" w:hAnsi="Arial"/>
          <w:sz w:val="20"/>
          <w:szCs w:val="20"/>
        </w:rPr>
        <w:t xml:space="preserve">No testing has been conducted. Extraction accuracy, failure modes, and edge cases for contracts and employee expense claims are unknown.</w:t>
      </w:r>
    </w:p>
    <w:p>
      <w:pPr>
        <w:pStyle w:val="ListParagraph"/>
        <w:numPr>
          <w:ilvl w:val="0"/>
          <w:numId w:val="2"/>
        </w:numPr>
        <w:spacing w:before="40" w:after="40"/>
      </w:pPr>
      <w:r>
        <w:rPr>
          <w:rFonts w:ascii="Arial" w:cs="Arial" w:eastAsia="Arial" w:hAnsi="Arial"/>
          <w:sz w:val="20"/>
          <w:szCs w:val="20"/>
        </w:rPr>
        <w:t xml:space="preserve">DocuWare's subprocessor list and training-rights terms have not been reviewed, creating unknown data governance exposure.</w:t>
      </w:r>
    </w:p>
    <w:p>
      <w:pPr>
        <w:pStyle w:val="ListParagraph"/>
        <w:numPr>
          <w:ilvl w:val="0"/>
          <w:numId w:val="2"/>
        </w:numPr>
        <w:spacing w:before="40" w:after="40"/>
      </w:pPr>
      <w:r>
        <w:rPr>
          <w:rFonts w:ascii="Arial" w:cs="Arial" w:eastAsia="Arial" w:hAnsi="Arial"/>
          <w:sz w:val="20"/>
          <w:szCs w:val="20"/>
        </w:rPr>
        <w:t xml:space="preserve">Incident response and monitoring plans are not defined.</w:t>
      </w:r>
    </w:p>
    <w:p>
      <w:pPr>
        <w:spacing w:before="80" w:after="0"/>
      </w:pPr>
    </w:p>
    <w:p>
      <w:pPr>
        <w:spacing w:before="80" w:after="80"/>
      </w:pPr>
      <w:r>
        <w:rPr>
          <w:rFonts w:ascii="Arial" w:cs="Arial" w:eastAsia="Arial" w:hAnsi="Arial"/>
          <w:b w:val="false"/>
          <w:bCs w:val="false"/>
          <w:color w:val="000000"/>
          <w:sz w:val="20"/>
          <w:szCs w:val="20"/>
        </w:rPr>
        <w:t xml:space="preserve">Factors that support a stronger baseline than many comparable deployments:</w:t>
      </w:r>
    </w:p>
    <w:p>
      <w:pPr>
        <w:pStyle w:val="ListParagraph"/>
        <w:numPr>
          <w:ilvl w:val="0"/>
          <w:numId w:val="2"/>
        </w:numPr>
        <w:spacing w:before="40" w:after="40"/>
      </w:pPr>
      <w:r>
        <w:rPr>
          <w:rFonts w:ascii="Arial" w:cs="Arial" w:eastAsia="Arial" w:hAnsi="Arial"/>
          <w:sz w:val="20"/>
          <w:szCs w:val="20"/>
        </w:rPr>
        <w:t xml:space="preserve">AI Acceptable Use Policy is in place.</w:t>
      </w:r>
    </w:p>
    <w:p>
      <w:pPr>
        <w:pStyle w:val="ListParagraph"/>
        <w:numPr>
          <w:ilvl w:val="0"/>
          <w:numId w:val="2"/>
        </w:numPr>
        <w:spacing w:before="40" w:after="40"/>
      </w:pPr>
      <w:r>
        <w:rPr>
          <w:rFonts w:ascii="Arial" w:cs="Arial" w:eastAsia="Arial" w:hAnsi="Arial"/>
          <w:sz w:val="20"/>
          <w:szCs w:val="20"/>
        </w:rPr>
        <w:t xml:space="preserve">A DPA / Privacy Addendum with DocuWare has been executed.</w:t>
      </w:r>
    </w:p>
    <w:p>
      <w:pPr>
        <w:pStyle w:val="ListParagraph"/>
        <w:numPr>
          <w:ilvl w:val="0"/>
          <w:numId w:val="2"/>
        </w:numPr>
        <w:spacing w:before="40" w:after="40"/>
      </w:pPr>
      <w:r>
        <w:rPr>
          <w:rFonts w:ascii="Arial" w:cs="Arial" w:eastAsia="Arial" w:hAnsi="Arial"/>
          <w:sz w:val="20"/>
          <w:szCs w:val="20"/>
        </w:rPr>
        <w:t xml:space="preserve">A vendor procurement review process exists.</w:t>
      </w:r>
    </w:p>
    <w:p>
      <w:pPr>
        <w:pStyle w:val="ListParagraph"/>
        <w:numPr>
          <w:ilvl w:val="0"/>
          <w:numId w:val="2"/>
        </w:numPr>
        <w:spacing w:before="40" w:after="40"/>
      </w:pPr>
      <w:r>
        <w:rPr>
          <w:rFonts w:ascii="Arial" w:cs="Arial" w:eastAsia="Arial" w:hAnsi="Arial"/>
          <w:sz w:val="20"/>
          <w:szCs w:val="20"/>
        </w:rPr>
        <w:t xml:space="preserve">Deployment is internal-only (not customer-facing), which reduces public disclosure and consumer protection risk.</w:t>
      </w:r>
    </w:p>
    <w:p>
      <w:pPr>
        <w:pStyle w:val="ListParagraph"/>
        <w:numPr>
          <w:ilvl w:val="0"/>
          <w:numId w:val="2"/>
        </w:numPr>
        <w:spacing w:before="40" w:after="40"/>
      </w:pPr>
      <w:r>
        <w:rPr>
          <w:rFonts w:ascii="Arial" w:cs="Arial" w:eastAsia="Arial" w:hAnsi="Arial"/>
          <w:sz w:val="20"/>
          <w:szCs w:val="20"/>
        </w:rPr>
        <w:t xml:space="preserve">Supplier contact data is the only confirmed personal data category, and it is not sensitive or special-category data under most frameworks.</w:t>
      </w:r>
    </w:p>
    <w:p>
      <w:pPr>
        <w:spacing w:before="240" w:after="0"/>
      </w:pPr>
    </w:p>
    <w:p>
      <w:pPr>
        <w:pStyle w:val="Heading1"/>
        <w:spacing w:before="360" w:after="200"/>
      </w:pPr>
      <w:r>
        <w:rPr>
          <w:rFonts w:ascii="Arial" w:cs="Arial" w:eastAsia="Arial" w:hAnsi="Arial"/>
          <w:b/>
          <w:bCs/>
          <w:sz w:val="32"/>
          <w:szCs w:val="32"/>
        </w:rPr>
        <w:t xml:space="preserve">6. Recommended Next Steps</w:t>
      </w:r>
    </w:p>
    <w:p>
      <w:pPr>
        <w:spacing w:before="80" w:after="80"/>
      </w:pPr>
      <w:r>
        <w:rPr>
          <w:rFonts w:ascii="Arial" w:cs="Arial" w:eastAsia="Arial" w:hAnsi="Arial"/>
          <w:b w:val="false"/>
          <w:bCs w:val="false"/>
          <w:color w:val="000000"/>
          <w:sz w:val="20"/>
          <w:szCs w:val="20"/>
        </w:rPr>
        <w:t xml:space="preserve">The following documents and artifacts should be confirmed or created:</w:t>
      </w:r>
    </w:p>
    <w:p>
      <w:pPr>
        <w:spacing w:before="80" w:after="0"/>
      </w:pPr>
    </w:p>
    <w:p>
      <w:pPr>
        <w:pStyle w:val="ListParagraph"/>
        <w:numPr>
          <w:ilvl w:val="0"/>
          <w:numId w:val="2"/>
        </w:numPr>
        <w:spacing w:before="40" w:after="40"/>
      </w:pPr>
      <w:r>
        <w:rPr>
          <w:rFonts w:ascii="Arial" w:cs="Arial" w:eastAsia="Arial" w:hAnsi="Arial"/>
          <w:sz w:val="20"/>
          <w:szCs w:val="20"/>
        </w:rPr>
        <w:t xml:space="preserve">AI Impact Assessment — not confirmed; initiate before go-live.</w:t>
      </w:r>
    </w:p>
    <w:p>
      <w:pPr>
        <w:pStyle w:val="ListParagraph"/>
        <w:numPr>
          <w:ilvl w:val="0"/>
          <w:numId w:val="2"/>
        </w:numPr>
        <w:spacing w:before="40" w:after="40"/>
      </w:pPr>
      <w:r>
        <w:rPr>
          <w:rFonts w:ascii="Arial" w:cs="Arial" w:eastAsia="Arial" w:hAnsi="Arial"/>
          <w:sz w:val="20"/>
          <w:szCs w:val="20"/>
        </w:rPr>
        <w:t xml:space="preserve">DocuWare subprocessor list and data-use / training-rights terms — request from vendor; review against DPA.</w:t>
      </w:r>
    </w:p>
    <w:p>
      <w:pPr>
        <w:pStyle w:val="ListParagraph"/>
        <w:numPr>
          <w:ilvl w:val="0"/>
          <w:numId w:val="2"/>
        </w:numPr>
        <w:spacing w:before="40" w:after="40"/>
      </w:pPr>
      <w:r>
        <w:rPr>
          <w:rFonts w:ascii="Arial" w:cs="Arial" w:eastAsia="Arial" w:hAnsi="Arial"/>
          <w:sz w:val="20"/>
          <w:szCs w:val="20"/>
        </w:rPr>
        <w:t xml:space="preserve">Human oversight and escalation procedure — define and document before go-live.</w:t>
      </w:r>
    </w:p>
    <w:p>
      <w:pPr>
        <w:pStyle w:val="ListParagraph"/>
        <w:numPr>
          <w:ilvl w:val="0"/>
          <w:numId w:val="2"/>
        </w:numPr>
        <w:spacing w:before="40" w:after="40"/>
      </w:pPr>
      <w:r>
        <w:rPr>
          <w:rFonts w:ascii="Arial" w:cs="Arial" w:eastAsia="Arial" w:hAnsi="Arial"/>
          <w:sz w:val="20"/>
          <w:szCs w:val="20"/>
        </w:rPr>
        <w:t xml:space="preserve">Testing and UAT plan — create, execute, and document results before go-live.</w:t>
      </w:r>
    </w:p>
    <w:p>
      <w:pPr>
        <w:pStyle w:val="ListParagraph"/>
        <w:numPr>
          <w:ilvl w:val="0"/>
          <w:numId w:val="2"/>
        </w:numPr>
        <w:spacing w:before="40" w:after="40"/>
      </w:pPr>
      <w:r>
        <w:rPr>
          <w:rFonts w:ascii="Arial" w:cs="Arial" w:eastAsia="Arial" w:hAnsi="Arial"/>
          <w:sz w:val="20"/>
          <w:szCs w:val="20"/>
        </w:rPr>
        <w:t xml:space="preserve">Post-launch monitoring plan — define KPIs, accuracy thresholds, and escalation triggers.</w:t>
      </w:r>
    </w:p>
    <w:p>
      <w:pPr>
        <w:pStyle w:val="ListParagraph"/>
        <w:numPr>
          <w:ilvl w:val="0"/>
          <w:numId w:val="2"/>
        </w:numPr>
        <w:spacing w:before="40" w:after="40"/>
      </w:pPr>
      <w:r>
        <w:rPr>
          <w:rFonts w:ascii="Arial" w:cs="Arial" w:eastAsia="Arial" w:hAnsi="Arial"/>
          <w:sz w:val="20"/>
          <w:szCs w:val="20"/>
        </w:rPr>
        <w:t xml:space="preserve">Internal incident response playbook (AI-specific) — draft before go-live.</w:t>
      </w:r>
    </w:p>
    <w:p>
      <w:pPr>
        <w:pStyle w:val="ListParagraph"/>
        <w:numPr>
          <w:ilvl w:val="0"/>
          <w:numId w:val="2"/>
        </w:numPr>
        <w:spacing w:before="40" w:after="40"/>
      </w:pPr>
      <w:r>
        <w:rPr>
          <w:rFonts w:ascii="Arial" w:cs="Arial" w:eastAsia="Arial" w:hAnsi="Arial"/>
          <w:sz w:val="20"/>
          <w:szCs w:val="20"/>
        </w:rPr>
        <w:t xml:space="preserve">Employee transparency notice — confirm staff are informed AI processes expense claims.</w:t>
      </w:r>
    </w:p>
    <w:p>
      <w:pPr>
        <w:pStyle w:val="ListParagraph"/>
        <w:numPr>
          <w:ilvl w:val="0"/>
          <w:numId w:val="2"/>
        </w:numPr>
        <w:spacing w:before="40" w:after="40"/>
      </w:pPr>
      <w:r>
        <w:rPr>
          <w:rFonts w:ascii="Arial" w:cs="Arial" w:eastAsia="Arial" w:hAnsi="Arial"/>
          <w:sz w:val="20"/>
          <w:szCs w:val="20"/>
        </w:rPr>
        <w:t xml:space="preserve">Internal owner and approver map — confirm named owners across Finance, Legal, IT/Security, and Privacy.</w:t>
      </w:r>
    </w:p>
    <w:p>
      <w:pPr>
        <w:pStyle w:val="ListParagraph"/>
        <w:numPr>
          <w:ilvl w:val="0"/>
          <w:numId w:val="2"/>
        </w:numPr>
        <w:spacing w:before="40" w:after="40"/>
      </w:pPr>
      <w:r>
        <w:rPr>
          <w:rFonts w:ascii="Arial" w:cs="Arial" w:eastAsia="Arial" w:hAnsi="Arial"/>
          <w:sz w:val="20"/>
          <w:szCs w:val="20"/>
        </w:rPr>
        <w:t xml:space="preserve">Go-live approval record — document formal sign-off with accountable stakeholders.</w:t>
      </w:r>
    </w:p>
    <w:p>
      <w:pPr>
        <w:spacing w:before="240" w:after="0"/>
      </w:pPr>
    </w:p>
    <w:p>
      <w:pPr>
        <w:pStyle w:val="Heading1"/>
        <w:spacing w:before="360" w:after="200"/>
      </w:pPr>
      <w:r>
        <w:rPr>
          <w:rFonts w:ascii="Arial" w:cs="Arial" w:eastAsia="Arial" w:hAnsi="Arial"/>
          <w:b/>
          <w:bCs/>
          <w:sz w:val="32"/>
          <w:szCs w:val="32"/>
        </w:rPr>
        <w:t xml:space="preserve">7. Governance as a Living Record</w:t>
      </w:r>
    </w:p>
    <w:p>
      <w:pPr>
        <w:spacing w:before="80" w:after="80"/>
      </w:pPr>
      <w:r>
        <w:rPr>
          <w:rFonts w:ascii="Arial" w:cs="Arial" w:eastAsia="Arial" w:hAnsi="Arial"/>
          <w:b w:val="false"/>
          <w:bCs w:val="false"/>
          <w:color w:val="000000"/>
          <w:sz w:val="20"/>
          <w:szCs w:val="20"/>
        </w:rPr>
        <w:t xml:space="preserve">This governance review should be revisited when any of the following occur:</w:t>
      </w:r>
    </w:p>
    <w:p>
      <w:pPr>
        <w:pStyle w:val="ListParagraph"/>
        <w:numPr>
          <w:ilvl w:val="0"/>
          <w:numId w:val="2"/>
        </w:numPr>
        <w:spacing w:before="40" w:after="40"/>
      </w:pPr>
      <w:r>
        <w:rPr>
          <w:rFonts w:ascii="Arial" w:cs="Arial" w:eastAsia="Arial" w:hAnsi="Arial"/>
          <w:sz w:val="20"/>
          <w:szCs w:val="20"/>
        </w:rPr>
        <w:t xml:space="preserve">The human oversight model is decided — update the review and re-evaluate Human Oversight and Testing Evidence categories.</w:t>
      </w:r>
    </w:p>
    <w:p>
      <w:pPr>
        <w:pStyle w:val="ListParagraph"/>
        <w:numPr>
          <w:ilvl w:val="0"/>
          <w:numId w:val="2"/>
        </w:numPr>
        <w:spacing w:before="40" w:after="40"/>
      </w:pPr>
      <w:r>
        <w:rPr>
          <w:rFonts w:ascii="Arial" w:cs="Arial" w:eastAsia="Arial" w:hAnsi="Arial"/>
          <w:sz w:val="20"/>
          <w:szCs w:val="20"/>
        </w:rPr>
        <w:t xml:space="preserve">Testing is completed — document results and update confidence levels.</w:t>
      </w:r>
    </w:p>
    <w:p>
      <w:pPr>
        <w:pStyle w:val="ListParagraph"/>
        <w:numPr>
          <w:ilvl w:val="0"/>
          <w:numId w:val="2"/>
        </w:numPr>
        <w:spacing w:before="40" w:after="40"/>
      </w:pPr>
      <w:r>
        <w:rPr>
          <w:rFonts w:ascii="Arial" w:cs="Arial" w:eastAsia="Arial" w:hAnsi="Arial"/>
          <w:sz w:val="20"/>
          <w:szCs w:val="20"/>
        </w:rPr>
        <w:t xml:space="preserve">DocuWare updates its model, subprocessors, or data-use terms — trigger a vendor review.</w:t>
      </w:r>
    </w:p>
    <w:p>
      <w:pPr>
        <w:pStyle w:val="ListParagraph"/>
        <w:numPr>
          <w:ilvl w:val="0"/>
          <w:numId w:val="2"/>
        </w:numPr>
        <w:spacing w:before="40" w:after="40"/>
      </w:pPr>
      <w:r>
        <w:rPr>
          <w:rFonts w:ascii="Arial" w:cs="Arial" w:eastAsia="Arial" w:hAnsi="Arial"/>
          <w:sz w:val="20"/>
          <w:szCs w:val="20"/>
        </w:rPr>
        <w:t xml:space="preserve">The deployment expands to additional document types or user groups.</w:t>
      </w:r>
    </w:p>
    <w:p>
      <w:pPr>
        <w:pStyle w:val="ListParagraph"/>
        <w:numPr>
          <w:ilvl w:val="0"/>
          <w:numId w:val="2"/>
        </w:numPr>
        <w:spacing w:before="40" w:after="40"/>
      </w:pPr>
      <w:r>
        <w:rPr>
          <w:rFonts w:ascii="Arial" w:cs="Arial" w:eastAsia="Arial" w:hAnsi="Arial"/>
          <w:sz w:val="20"/>
          <w:szCs w:val="20"/>
        </w:rPr>
        <w:t xml:space="preserve">A data incident, extraction error, or AI failure occurs.</w:t>
      </w:r>
    </w:p>
    <w:p>
      <w:pPr>
        <w:pStyle w:val="ListParagraph"/>
        <w:numPr>
          <w:ilvl w:val="0"/>
          <w:numId w:val="2"/>
        </w:numPr>
        <w:spacing w:before="40" w:after="40"/>
      </w:pPr>
      <w:r>
        <w:rPr>
          <w:rFonts w:ascii="Arial" w:cs="Arial" w:eastAsia="Arial" w:hAnsi="Arial"/>
          <w:sz w:val="20"/>
          <w:szCs w:val="20"/>
        </w:rPr>
        <w:t xml:space="preserve">Applicable US state privacy laws change or new legislation is enacted.</w:t>
      </w:r>
    </w:p>
    <w:p>
      <w:pPr>
        <w:pStyle w:val="ListParagraph"/>
        <w:numPr>
          <w:ilvl w:val="0"/>
          <w:numId w:val="2"/>
        </w:numPr>
        <w:spacing w:before="40" w:after="40"/>
      </w:pPr>
      <w:r>
        <w:rPr>
          <w:rFonts w:ascii="Arial" w:cs="Arial" w:eastAsia="Arial" w:hAnsi="Arial"/>
          <w:sz w:val="20"/>
          <w:szCs w:val="20"/>
        </w:rPr>
        <w:t xml:space="preserve">The deployment moves from pilot to full production.</w:t>
      </w:r>
    </w:p>
    <w:p>
      <w:pPr>
        <w:spacing w:before="80" w:after="0"/>
      </w:pPr>
    </w:p>
    <w:p>
      <w:pPr>
        <w:spacing w:before="80" w:after="80"/>
      </w:pPr>
      <w:r>
        <w:rPr>
          <w:rFonts w:ascii="Arial" w:cs="Arial" w:eastAsia="Arial" w:hAnsi="Arial"/>
          <w:b w:val="false"/>
          <w:bCs w:val="false"/>
          <w:color w:val="000000"/>
          <w:sz w:val="20"/>
          <w:szCs w:val="20"/>
        </w:rPr>
        <w:t xml:space="preserve">Recommended review cadence: 90 days post-go-live, then annually, or upon any of the above triggers.</w:t>
      </w:r>
    </w:p>
    <w:p>
      <w:pPr>
        <w:spacing w:before="240" w:after="0"/>
      </w:pPr>
    </w:p>
    <w:p>
      <w:pPr>
        <w:pBdr>
          <w:bottom w:val="single" w:color="1F3864" w:sz="4" w:space="1"/>
        </w:pBdr>
        <w:spacing w:before="120" w:after="120"/>
      </w:pPr>
    </w:p>
    <w:p>
      <w:pPr>
        <w:spacing w:before="80" w:after="80"/>
      </w:pPr>
      <w:r>
        <w:rPr>
          <w:rFonts w:ascii="Arial" w:cs="Arial" w:eastAsia="Arial" w:hAnsi="Arial"/>
          <w:b w:val="false"/>
          <w:bCs w:val="false"/>
          <w:color w:val="7F0000"/>
          <w:sz w:val="16"/>
          <w:szCs w:val="16"/>
        </w:rPr>
        <w:t xml:space="preserve">This review supports AI governance processes but does not replace formal legal review. This output is a draft and may contain errors or omissions. Verify all conclusions against company policies, primary regulatory sources, and the appropriate internal legal, privacy, security, and compliance teams.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Draft AI Governance Review — DocuWare IDP    |    Page </w:t>
    </w:r>
    <w:r>
      <w:rPr>
        <w:color w:val="7F7F7F"/>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2026-03-17T23:41:40.271Z</dcterms:created>
  <dcterms:modified xsi:type="dcterms:W3CDTF">2026-03-17T23:41:40.272Z</dcterms:modified>
</cp:coreProperties>
</file>

<file path=docProps/custom.xml><?xml version="1.0" encoding="utf-8"?>
<Properties xmlns="http://schemas.openxmlformats.org/officeDocument/2006/custom-properties" xmlns:vt="http://schemas.openxmlformats.org/officeDocument/2006/docPropsVTypes"/>
</file>