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7EB5D" w14:textId="65EBEA40" w:rsidR="00C071BE" w:rsidRDefault="00CA07C9" w:rsidP="00CA07C9">
      <w:pPr>
        <w:pStyle w:val="Title"/>
        <w:jc w:val="center"/>
        <w:rPr>
          <w:sz w:val="48"/>
          <w:szCs w:val="48"/>
        </w:rPr>
      </w:pPr>
      <w:r w:rsidRPr="00CA07C9">
        <w:rPr>
          <w:sz w:val="48"/>
          <w:szCs w:val="48"/>
        </w:rPr>
        <w:t>Patch Management Standard</w:t>
      </w:r>
    </w:p>
    <w:p w14:paraId="26867590" w14:textId="0F58E6C3" w:rsidR="00CA07C9" w:rsidRDefault="00CA07C9" w:rsidP="00CA07C9"/>
    <w:p w14:paraId="55B1A8FB" w14:textId="77777777" w:rsidR="00CA07C9" w:rsidRPr="00CA07C9" w:rsidRDefault="00CA07C9" w:rsidP="00CA07C9">
      <w:pPr>
        <w:numPr>
          <w:ilvl w:val="0"/>
          <w:numId w:val="2"/>
        </w:numPr>
        <w:rPr>
          <w:b/>
          <w:sz w:val="28"/>
          <w:szCs w:val="28"/>
        </w:rPr>
      </w:pPr>
      <w:r w:rsidRPr="00CA07C9">
        <w:rPr>
          <w:b/>
          <w:sz w:val="28"/>
          <w:szCs w:val="28"/>
        </w:rPr>
        <w:t>Overview and Purpose</w:t>
      </w:r>
    </w:p>
    <w:p w14:paraId="654782C4" w14:textId="75337F77" w:rsidR="00CA07C9" w:rsidRDefault="00CA07C9" w:rsidP="00CA07C9">
      <w:r>
        <w:t xml:space="preserve">This document describes the minimum requirements for maintaining up-to-date operating system and vendor software patches on all Esri owned and managed devices including servers, firewalls, network switches and routers, </w:t>
      </w:r>
      <w:proofErr w:type="gramStart"/>
      <w:r>
        <w:t>database</w:t>
      </w:r>
      <w:proofErr w:type="gramEnd"/>
      <w:r>
        <w:t xml:space="preserve"> and storage systems. The purpose of this document is to provide standards and frequency for application of critical security updates and patches and reacting to any discovered </w:t>
      </w:r>
      <w:r w:rsidR="008B1C72">
        <w:t>vulnerabilities.</w:t>
      </w:r>
    </w:p>
    <w:p w14:paraId="1DF366D0" w14:textId="3DAE4C51" w:rsidR="008B1C72" w:rsidRPr="00CA07C9" w:rsidRDefault="008B1C72" w:rsidP="008B1C72">
      <w:pPr>
        <w:numPr>
          <w:ilvl w:val="0"/>
          <w:numId w:val="2"/>
        </w:numPr>
        <w:rPr>
          <w:b/>
          <w:sz w:val="28"/>
          <w:szCs w:val="28"/>
        </w:rPr>
      </w:pPr>
      <w:r>
        <w:rPr>
          <w:b/>
          <w:sz w:val="28"/>
          <w:szCs w:val="28"/>
        </w:rPr>
        <w:t xml:space="preserve">Scope </w:t>
      </w:r>
    </w:p>
    <w:p w14:paraId="0DA49B82" w14:textId="77777777" w:rsidR="008B1C72" w:rsidRPr="008B1C72" w:rsidRDefault="008B1C72" w:rsidP="008B1C72">
      <w:r w:rsidRPr="008B1C72">
        <w:t>This policy applies to all non-classified assets owned or managed by Esri.</w:t>
      </w:r>
    </w:p>
    <w:p w14:paraId="500A3B25" w14:textId="1D0B4EAB" w:rsidR="008B1C72" w:rsidRDefault="008B1C72" w:rsidP="212DE00D">
      <w:pPr>
        <w:numPr>
          <w:ilvl w:val="0"/>
          <w:numId w:val="2"/>
        </w:numPr>
        <w:rPr>
          <w:b/>
          <w:bCs/>
          <w:sz w:val="28"/>
          <w:szCs w:val="28"/>
        </w:rPr>
      </w:pPr>
      <w:r w:rsidRPr="2E5EC29A">
        <w:rPr>
          <w:b/>
          <w:bCs/>
          <w:sz w:val="28"/>
          <w:szCs w:val="28"/>
        </w:rPr>
        <w:t xml:space="preserve">Patch </w:t>
      </w:r>
      <w:r w:rsidR="00D93D26" w:rsidRPr="2E5EC29A">
        <w:rPr>
          <w:b/>
          <w:bCs/>
          <w:sz w:val="28"/>
          <w:szCs w:val="28"/>
        </w:rPr>
        <w:t xml:space="preserve">Management </w:t>
      </w:r>
    </w:p>
    <w:p w14:paraId="5874C27D" w14:textId="0FC3A5A8" w:rsidR="00544887" w:rsidRDefault="00544887" w:rsidP="00544887">
      <w:r>
        <w:t xml:space="preserve">Roles and responsibilities for personnel executing the </w:t>
      </w:r>
      <w:r w:rsidR="0094029B">
        <w:t>Patch Management Standard</w:t>
      </w:r>
      <w:r>
        <w:t xml:space="preserve"> is broken down below according to the table</w:t>
      </w:r>
    </w:p>
    <w:tbl>
      <w:tblPr>
        <w:tblStyle w:val="TableGrid"/>
        <w:tblW w:w="0" w:type="auto"/>
        <w:tblInd w:w="-275" w:type="dxa"/>
        <w:tblLook w:val="04A0" w:firstRow="1" w:lastRow="0" w:firstColumn="1" w:lastColumn="0" w:noHBand="0" w:noVBand="1"/>
      </w:tblPr>
      <w:tblGrid>
        <w:gridCol w:w="1800"/>
        <w:gridCol w:w="4708"/>
        <w:gridCol w:w="3117"/>
      </w:tblGrid>
      <w:tr w:rsidR="00B07D11" w14:paraId="4684A47C" w14:textId="77777777" w:rsidTr="2E5EC29A">
        <w:tc>
          <w:tcPr>
            <w:tcW w:w="1800" w:type="dxa"/>
          </w:tcPr>
          <w:p w14:paraId="3B73A3E9" w14:textId="32691079" w:rsidR="00B07D11" w:rsidRPr="00B07D11" w:rsidRDefault="00B07D11" w:rsidP="00544887">
            <w:pPr>
              <w:rPr>
                <w:b/>
              </w:rPr>
            </w:pPr>
            <w:r w:rsidRPr="00B07D11">
              <w:rPr>
                <w:b/>
              </w:rPr>
              <w:t>Entity</w:t>
            </w:r>
          </w:p>
        </w:tc>
        <w:tc>
          <w:tcPr>
            <w:tcW w:w="4708" w:type="dxa"/>
          </w:tcPr>
          <w:p w14:paraId="5E64017A" w14:textId="79FD9287" w:rsidR="00B07D11" w:rsidRPr="00B07D11" w:rsidRDefault="00B07D11" w:rsidP="00544887">
            <w:pPr>
              <w:rPr>
                <w:b/>
              </w:rPr>
            </w:pPr>
            <w:r w:rsidRPr="00B07D11">
              <w:rPr>
                <w:b/>
              </w:rPr>
              <w:t>Patch management Role</w:t>
            </w:r>
          </w:p>
        </w:tc>
        <w:tc>
          <w:tcPr>
            <w:tcW w:w="3117" w:type="dxa"/>
          </w:tcPr>
          <w:p w14:paraId="3D998B60" w14:textId="374371CC" w:rsidR="00B07D11" w:rsidRPr="00B07D11" w:rsidRDefault="00B07D11" w:rsidP="00544887">
            <w:pPr>
              <w:rPr>
                <w:b/>
              </w:rPr>
            </w:pPr>
            <w:r w:rsidRPr="00B07D11">
              <w:rPr>
                <w:b/>
              </w:rPr>
              <w:t>Operational Responsibilities</w:t>
            </w:r>
          </w:p>
        </w:tc>
      </w:tr>
      <w:tr w:rsidR="00B07D11" w14:paraId="0DD363B7" w14:textId="77777777" w:rsidTr="2E5EC29A">
        <w:trPr>
          <w:trHeight w:val="3293"/>
        </w:trPr>
        <w:tc>
          <w:tcPr>
            <w:tcW w:w="1800" w:type="dxa"/>
          </w:tcPr>
          <w:p w14:paraId="69A7153E" w14:textId="0DF816E4" w:rsidR="00B07D11" w:rsidRDefault="00B07D11" w:rsidP="00544887">
            <w:pPr>
              <w:rPr>
                <w:bCs/>
              </w:rPr>
            </w:pPr>
            <w:r w:rsidRPr="00B07D11">
              <w:rPr>
                <w:bCs/>
              </w:rPr>
              <w:t>System Owners</w:t>
            </w:r>
          </w:p>
        </w:tc>
        <w:tc>
          <w:tcPr>
            <w:tcW w:w="4708" w:type="dxa"/>
          </w:tcPr>
          <w:p w14:paraId="49E6D074" w14:textId="1CEF03C7" w:rsidR="00B07D11" w:rsidRDefault="00B07D11" w:rsidP="2E5EC29A">
            <w:r>
              <w:t xml:space="preserve">System owners are responsible to ensure their systems are patched and </w:t>
            </w:r>
            <w:r w:rsidR="0094029B">
              <w:t>complies with the</w:t>
            </w:r>
            <w:r>
              <w:t xml:space="preserve"> </w:t>
            </w:r>
            <w:r w:rsidR="0094029B">
              <w:t>P</w:t>
            </w:r>
            <w:r>
              <w:t>atch</w:t>
            </w:r>
            <w:r w:rsidR="0094029B">
              <w:t xml:space="preserve"> Management </w:t>
            </w:r>
            <w:r w:rsidR="73B0FA25">
              <w:t>Standard</w:t>
            </w:r>
            <w:r>
              <w:t xml:space="preserve">. They work with infrastructure and operations and security operations to create exception when required and implementing acceptable mitigating controls to reduce risks for systems under exceptions. </w:t>
            </w:r>
            <w:r w:rsidR="00345A74">
              <w:t>System owners are also required to ensure accurate inventory of the systems they managed in ServiceNow.</w:t>
            </w:r>
          </w:p>
        </w:tc>
        <w:tc>
          <w:tcPr>
            <w:tcW w:w="3117" w:type="dxa"/>
          </w:tcPr>
          <w:p w14:paraId="0432F233" w14:textId="77777777" w:rsidR="00B07D11" w:rsidRDefault="00B07D11" w:rsidP="00B07D11">
            <w:pPr>
              <w:pStyle w:val="ListParagraph"/>
              <w:numPr>
                <w:ilvl w:val="0"/>
                <w:numId w:val="16"/>
              </w:numPr>
              <w:rPr>
                <w:bCs/>
              </w:rPr>
            </w:pPr>
            <w:r>
              <w:rPr>
                <w:bCs/>
              </w:rPr>
              <w:t>Manage systems inventory in ServiceNow</w:t>
            </w:r>
          </w:p>
          <w:p w14:paraId="06414DDE" w14:textId="77777777" w:rsidR="00B07D11" w:rsidRDefault="00B07D11" w:rsidP="00B07D11">
            <w:pPr>
              <w:pStyle w:val="ListParagraph"/>
              <w:numPr>
                <w:ilvl w:val="0"/>
                <w:numId w:val="16"/>
              </w:numPr>
              <w:rPr>
                <w:bCs/>
              </w:rPr>
            </w:pPr>
            <w:r>
              <w:rPr>
                <w:bCs/>
              </w:rPr>
              <w:t>Review patches from the vendors to ensure the systems are up to date on patches.</w:t>
            </w:r>
          </w:p>
          <w:p w14:paraId="17CCAF1B" w14:textId="47C817DB" w:rsidR="00B07D11" w:rsidRDefault="00B07D11" w:rsidP="00B07D11">
            <w:pPr>
              <w:pStyle w:val="ListParagraph"/>
              <w:numPr>
                <w:ilvl w:val="0"/>
                <w:numId w:val="16"/>
              </w:numPr>
              <w:rPr>
                <w:bCs/>
              </w:rPr>
            </w:pPr>
            <w:r>
              <w:rPr>
                <w:bCs/>
              </w:rPr>
              <w:t>Asses</w:t>
            </w:r>
            <w:r w:rsidR="00DD3544">
              <w:rPr>
                <w:bCs/>
              </w:rPr>
              <w:t xml:space="preserve">s </w:t>
            </w:r>
            <w:r>
              <w:rPr>
                <w:bCs/>
              </w:rPr>
              <w:t>operational impact on implementing the patches.</w:t>
            </w:r>
          </w:p>
          <w:p w14:paraId="36D7BF51" w14:textId="7073AE70" w:rsidR="00B07D11" w:rsidRPr="00B07D11" w:rsidRDefault="00B07D11" w:rsidP="00B07D11">
            <w:pPr>
              <w:pStyle w:val="ListParagraph"/>
              <w:numPr>
                <w:ilvl w:val="0"/>
                <w:numId w:val="16"/>
              </w:numPr>
              <w:rPr>
                <w:bCs/>
              </w:rPr>
            </w:pPr>
            <w:r>
              <w:rPr>
                <w:bCs/>
              </w:rPr>
              <w:t>Reviewing and mitigating risks to the system which are in exception from patching standard.</w:t>
            </w:r>
          </w:p>
        </w:tc>
      </w:tr>
      <w:tr w:rsidR="00B07D11" w14:paraId="310800A7" w14:textId="77777777" w:rsidTr="2E5EC29A">
        <w:tc>
          <w:tcPr>
            <w:tcW w:w="1800" w:type="dxa"/>
          </w:tcPr>
          <w:p w14:paraId="01A51C6E" w14:textId="5C718B83" w:rsidR="00B07D11" w:rsidRDefault="00B07D11" w:rsidP="2E5EC29A">
            <w:r>
              <w:t xml:space="preserve">Security </w:t>
            </w:r>
            <w:r w:rsidR="00F2775A">
              <w:t>Assurance</w:t>
            </w:r>
          </w:p>
        </w:tc>
        <w:tc>
          <w:tcPr>
            <w:tcW w:w="4708" w:type="dxa"/>
          </w:tcPr>
          <w:p w14:paraId="36405D3C" w14:textId="48800A9A" w:rsidR="00B07D11" w:rsidRDefault="00B07D11" w:rsidP="2E5EC29A">
            <w:r>
              <w:t xml:space="preserve">Security </w:t>
            </w:r>
            <w:r w:rsidR="0037162B">
              <w:t xml:space="preserve">Assurance </w:t>
            </w:r>
            <w:r>
              <w:t>work</w:t>
            </w:r>
            <w:r w:rsidR="002C1931">
              <w:t>s</w:t>
            </w:r>
            <w:r>
              <w:t xml:space="preserve"> with system owners </w:t>
            </w:r>
            <w:r w:rsidR="002C1931">
              <w:t>in the event a system cannot comply with the standard</w:t>
            </w:r>
            <w:r>
              <w:t>. The</w:t>
            </w:r>
            <w:r w:rsidR="002C1931">
              <w:t xml:space="preserve"> </w:t>
            </w:r>
            <w:r w:rsidR="00E45C5D">
              <w:t>team will</w:t>
            </w:r>
            <w:r>
              <w:t xml:space="preserve"> review any exception that </w:t>
            </w:r>
            <w:r w:rsidR="00E45C5D">
              <w:t xml:space="preserve">are </w:t>
            </w:r>
            <w:r>
              <w:t xml:space="preserve">requested by system owners </w:t>
            </w:r>
            <w:r w:rsidR="00E45C5D">
              <w:t xml:space="preserve">and </w:t>
            </w:r>
            <w:r>
              <w:t>ensure</w:t>
            </w:r>
            <w:r w:rsidR="00E45C5D">
              <w:t xml:space="preserve"> appropriate</w:t>
            </w:r>
            <w:r>
              <w:t xml:space="preserve"> mitigating controls are </w:t>
            </w:r>
            <w:r w:rsidR="00E45C5D">
              <w:t>in place.</w:t>
            </w:r>
          </w:p>
        </w:tc>
        <w:tc>
          <w:tcPr>
            <w:tcW w:w="3117" w:type="dxa"/>
          </w:tcPr>
          <w:p w14:paraId="5E45A641" w14:textId="78AC0F1E" w:rsidR="00B07D11" w:rsidRPr="00B07D11" w:rsidRDefault="00E45C5D" w:rsidP="00B07D11">
            <w:pPr>
              <w:pStyle w:val="ListParagraph"/>
              <w:numPr>
                <w:ilvl w:val="0"/>
                <w:numId w:val="17"/>
              </w:numPr>
            </w:pPr>
            <w:r>
              <w:t>Review exception requests</w:t>
            </w:r>
            <w:r w:rsidR="00342D97">
              <w:t xml:space="preserve"> and </w:t>
            </w:r>
            <w:r w:rsidR="00231574">
              <w:t>manage associated risk.</w:t>
            </w:r>
            <w:r w:rsidR="00B07D11">
              <w:t xml:space="preserve"> </w:t>
            </w:r>
          </w:p>
        </w:tc>
      </w:tr>
    </w:tbl>
    <w:p w14:paraId="76C3DAAD" w14:textId="77777777" w:rsidR="00544887" w:rsidRPr="00544887" w:rsidRDefault="00544887" w:rsidP="00544887">
      <w:pPr>
        <w:rPr>
          <w:bCs/>
        </w:rPr>
      </w:pPr>
    </w:p>
    <w:p w14:paraId="2BEBC5E8" w14:textId="77777777" w:rsidR="00345A74" w:rsidRDefault="00345A74" w:rsidP="008B1C72">
      <w:pPr>
        <w:rPr>
          <w:bCs/>
        </w:rPr>
      </w:pPr>
    </w:p>
    <w:p w14:paraId="0F4A6485" w14:textId="77777777" w:rsidR="00345A74" w:rsidRDefault="00345A74" w:rsidP="008B1C72">
      <w:pPr>
        <w:rPr>
          <w:bCs/>
        </w:rPr>
      </w:pPr>
    </w:p>
    <w:p w14:paraId="5AE5735A" w14:textId="77777777" w:rsidR="00345A74" w:rsidRDefault="00345A74" w:rsidP="008B1C72">
      <w:pPr>
        <w:rPr>
          <w:bCs/>
        </w:rPr>
      </w:pPr>
    </w:p>
    <w:p w14:paraId="1ED03F56" w14:textId="4984997B" w:rsidR="008B1C72" w:rsidRPr="00CA07C9" w:rsidRDefault="008B1C72" w:rsidP="008B1C72">
      <w:r>
        <w:lastRenderedPageBreak/>
        <w:t>Minimum patching frequency for each type of system is listed in the table below.</w:t>
      </w:r>
      <w:r w:rsidR="001A655B">
        <w:t xml:space="preserve"> In the e</w:t>
      </w:r>
      <w:r w:rsidR="007370B9">
        <w:t>vent security patches are required, the timing of patching will be determined</w:t>
      </w:r>
      <w:r w:rsidR="004F4945">
        <w:t xml:space="preserve"> as described in section 4.</w:t>
      </w:r>
    </w:p>
    <w:tbl>
      <w:tblPr>
        <w:tblStyle w:val="TableGrid"/>
        <w:tblpPr w:leftFromText="180" w:rightFromText="180" w:vertAnchor="text" w:horzAnchor="margin" w:tblpX="-280" w:tblpY="46"/>
        <w:tblW w:w="9630" w:type="dxa"/>
        <w:tblLook w:val="04A0" w:firstRow="1" w:lastRow="0" w:firstColumn="1" w:lastColumn="0" w:noHBand="0" w:noVBand="1"/>
      </w:tblPr>
      <w:tblGrid>
        <w:gridCol w:w="3396"/>
        <w:gridCol w:w="3117"/>
        <w:gridCol w:w="3117"/>
      </w:tblGrid>
      <w:tr w:rsidR="002A5269" w14:paraId="17880B52" w14:textId="77777777" w:rsidTr="2670EDB8">
        <w:tc>
          <w:tcPr>
            <w:tcW w:w="3396" w:type="dxa"/>
          </w:tcPr>
          <w:p w14:paraId="62E7BFCD" w14:textId="77777777" w:rsidR="002A5269" w:rsidRPr="002A5269" w:rsidRDefault="002A5269" w:rsidP="00B07D11">
            <w:pPr>
              <w:rPr>
                <w:b/>
                <w:bCs/>
              </w:rPr>
            </w:pPr>
            <w:r w:rsidRPr="002A5269">
              <w:rPr>
                <w:b/>
                <w:bCs/>
              </w:rPr>
              <w:t>System Type</w:t>
            </w:r>
          </w:p>
        </w:tc>
        <w:tc>
          <w:tcPr>
            <w:tcW w:w="3117" w:type="dxa"/>
          </w:tcPr>
          <w:p w14:paraId="6FB6081E" w14:textId="77777777" w:rsidR="002A5269" w:rsidRPr="002A5269" w:rsidRDefault="002A5269" w:rsidP="00B07D11">
            <w:pPr>
              <w:tabs>
                <w:tab w:val="left" w:pos="915"/>
              </w:tabs>
              <w:rPr>
                <w:b/>
                <w:bCs/>
              </w:rPr>
            </w:pPr>
            <w:r w:rsidRPr="002A5269">
              <w:rPr>
                <w:b/>
                <w:bCs/>
              </w:rPr>
              <w:t>Patch management schedule</w:t>
            </w:r>
            <w:r w:rsidRPr="002A5269">
              <w:rPr>
                <w:b/>
                <w:bCs/>
              </w:rPr>
              <w:tab/>
            </w:r>
          </w:p>
        </w:tc>
        <w:tc>
          <w:tcPr>
            <w:tcW w:w="3117" w:type="dxa"/>
          </w:tcPr>
          <w:p w14:paraId="35624F46" w14:textId="77777777" w:rsidR="002A5269" w:rsidRPr="002A5269" w:rsidRDefault="002A5269" w:rsidP="00B07D11">
            <w:pPr>
              <w:rPr>
                <w:b/>
                <w:bCs/>
              </w:rPr>
            </w:pPr>
            <w:r w:rsidRPr="002A5269">
              <w:rPr>
                <w:b/>
                <w:bCs/>
              </w:rPr>
              <w:t>Patch Type</w:t>
            </w:r>
          </w:p>
        </w:tc>
      </w:tr>
      <w:tr w:rsidR="002A5269" w14:paraId="52723B32" w14:textId="77777777" w:rsidTr="2670EDB8">
        <w:tc>
          <w:tcPr>
            <w:tcW w:w="3396" w:type="dxa"/>
          </w:tcPr>
          <w:p w14:paraId="592708ED" w14:textId="2A4CE397" w:rsidR="002A5269" w:rsidRDefault="002A5269" w:rsidP="00B07D11">
            <w:r>
              <w:t>Windows Server</w:t>
            </w:r>
          </w:p>
        </w:tc>
        <w:tc>
          <w:tcPr>
            <w:tcW w:w="3117" w:type="dxa"/>
          </w:tcPr>
          <w:p w14:paraId="498E5885" w14:textId="4E77CB1D" w:rsidR="002A5269" w:rsidRDefault="00AE1CEB" w:rsidP="00B07D11">
            <w:r>
              <w:t>Monthly</w:t>
            </w:r>
          </w:p>
        </w:tc>
        <w:tc>
          <w:tcPr>
            <w:tcW w:w="3117" w:type="dxa"/>
          </w:tcPr>
          <w:p w14:paraId="74E6B9C9" w14:textId="33B9FF82" w:rsidR="002A5269" w:rsidRDefault="1C2F4C77" w:rsidP="00B07D11">
            <w:r>
              <w:t>O</w:t>
            </w:r>
            <w:r w:rsidR="00544887">
              <w:t xml:space="preserve">perating system </w:t>
            </w:r>
            <w:r>
              <w:t>Patch and Security updates</w:t>
            </w:r>
          </w:p>
        </w:tc>
      </w:tr>
      <w:tr w:rsidR="002A5269" w14:paraId="48A15331" w14:textId="77777777" w:rsidTr="2670EDB8">
        <w:tc>
          <w:tcPr>
            <w:tcW w:w="3396" w:type="dxa"/>
          </w:tcPr>
          <w:p w14:paraId="0355CBA7" w14:textId="66553D1A" w:rsidR="002A5269" w:rsidRDefault="002A5269" w:rsidP="00B07D11">
            <w:r>
              <w:t xml:space="preserve">Linux </w:t>
            </w:r>
            <w:r w:rsidR="00544887">
              <w:t xml:space="preserve">and Unix based </w:t>
            </w:r>
            <w:r>
              <w:t>Server</w:t>
            </w:r>
            <w:r w:rsidR="00544887">
              <w:t>s</w:t>
            </w:r>
          </w:p>
        </w:tc>
        <w:tc>
          <w:tcPr>
            <w:tcW w:w="3117" w:type="dxa"/>
          </w:tcPr>
          <w:p w14:paraId="0D727B05" w14:textId="00043DEE" w:rsidR="002A5269" w:rsidRDefault="00AE1CEB" w:rsidP="00B07D11">
            <w:r>
              <w:t>Monthly</w:t>
            </w:r>
          </w:p>
        </w:tc>
        <w:tc>
          <w:tcPr>
            <w:tcW w:w="3117" w:type="dxa"/>
          </w:tcPr>
          <w:p w14:paraId="7BE62EE0" w14:textId="15D4649A" w:rsidR="002A5269" w:rsidRDefault="00AE1CEB" w:rsidP="00B07D11">
            <w:r>
              <w:t>O</w:t>
            </w:r>
            <w:r w:rsidR="00544887">
              <w:t xml:space="preserve">perating system </w:t>
            </w:r>
            <w:r>
              <w:t>Patch and Security updates</w:t>
            </w:r>
          </w:p>
        </w:tc>
      </w:tr>
      <w:tr w:rsidR="002A5269" w14:paraId="764D10F0" w14:textId="77777777" w:rsidTr="2670EDB8">
        <w:tc>
          <w:tcPr>
            <w:tcW w:w="3396" w:type="dxa"/>
          </w:tcPr>
          <w:p w14:paraId="7001568A" w14:textId="275DB6C8" w:rsidR="002A5269" w:rsidRDefault="002A5269" w:rsidP="00B07D11">
            <w:r>
              <w:t>Databases</w:t>
            </w:r>
          </w:p>
        </w:tc>
        <w:tc>
          <w:tcPr>
            <w:tcW w:w="3117" w:type="dxa"/>
          </w:tcPr>
          <w:p w14:paraId="7E61E0DE" w14:textId="3DC88630" w:rsidR="002A5269" w:rsidRDefault="00AE1CEB" w:rsidP="00B07D11">
            <w:r>
              <w:t>Monthly</w:t>
            </w:r>
          </w:p>
        </w:tc>
        <w:tc>
          <w:tcPr>
            <w:tcW w:w="3117" w:type="dxa"/>
          </w:tcPr>
          <w:p w14:paraId="0BFCA4DB" w14:textId="00291746" w:rsidR="002A5269" w:rsidRDefault="00AE1CEB" w:rsidP="00B07D11">
            <w:r>
              <w:t>Security updates</w:t>
            </w:r>
          </w:p>
        </w:tc>
      </w:tr>
      <w:tr w:rsidR="002A5269" w14:paraId="48AA5620" w14:textId="77777777" w:rsidTr="2670EDB8">
        <w:tc>
          <w:tcPr>
            <w:tcW w:w="3396" w:type="dxa"/>
          </w:tcPr>
          <w:p w14:paraId="058FCDEA" w14:textId="4B0DE6A7" w:rsidR="002A5269" w:rsidRDefault="002A5269" w:rsidP="00B07D11">
            <w:r>
              <w:t xml:space="preserve">All other systems including </w:t>
            </w:r>
            <w:r w:rsidR="00C1681E">
              <w:t xml:space="preserve">but not limited to </w:t>
            </w:r>
            <w:r>
              <w:t>firewall, network switches and routers,</w:t>
            </w:r>
            <w:r w:rsidR="00AE1CEB">
              <w:t xml:space="preserve"> </w:t>
            </w:r>
            <w:r>
              <w:t>storage systems</w:t>
            </w:r>
            <w:r w:rsidR="00544887">
              <w:t xml:space="preserve"> and others</w:t>
            </w:r>
          </w:p>
        </w:tc>
        <w:tc>
          <w:tcPr>
            <w:tcW w:w="3117" w:type="dxa"/>
          </w:tcPr>
          <w:p w14:paraId="78DB2DE5" w14:textId="4651B5DA" w:rsidR="002A5269" w:rsidRDefault="683C6E12" w:rsidP="001C5FCF">
            <w:pPr>
              <w:spacing w:line="259" w:lineRule="auto"/>
            </w:pPr>
            <w:r>
              <w:t>Monthly</w:t>
            </w:r>
          </w:p>
        </w:tc>
        <w:tc>
          <w:tcPr>
            <w:tcW w:w="3117" w:type="dxa"/>
          </w:tcPr>
          <w:p w14:paraId="0B7CAA9F" w14:textId="3656DA2B" w:rsidR="002A5269" w:rsidRDefault="50C81A0B" w:rsidP="00B07D11">
            <w:r>
              <w:t xml:space="preserve">Firmware and security updates </w:t>
            </w:r>
          </w:p>
        </w:tc>
      </w:tr>
    </w:tbl>
    <w:p w14:paraId="423AE5BA" w14:textId="24F5085B" w:rsidR="00AE1CEB" w:rsidRDefault="00AE1CEB" w:rsidP="00CA07C9"/>
    <w:p w14:paraId="6DE84629" w14:textId="19A16938" w:rsidR="00C1681E" w:rsidRPr="00C1681E" w:rsidRDefault="00C1681E" w:rsidP="2E5EC29A">
      <w:pPr>
        <w:rPr>
          <w:b/>
          <w:bCs/>
          <w:sz w:val="28"/>
          <w:szCs w:val="28"/>
        </w:rPr>
      </w:pPr>
      <w:r w:rsidRPr="2E5EC29A">
        <w:rPr>
          <w:b/>
          <w:bCs/>
          <w:sz w:val="28"/>
          <w:szCs w:val="28"/>
        </w:rPr>
        <w:t xml:space="preserve">3.1 </w:t>
      </w:r>
      <w:r w:rsidR="0053538F" w:rsidRPr="2E5EC29A">
        <w:rPr>
          <w:b/>
          <w:bCs/>
          <w:sz w:val="28"/>
          <w:szCs w:val="28"/>
        </w:rPr>
        <w:t>Exception</w:t>
      </w:r>
      <w:r w:rsidRPr="2E5EC29A">
        <w:rPr>
          <w:b/>
          <w:bCs/>
          <w:sz w:val="28"/>
          <w:szCs w:val="28"/>
        </w:rPr>
        <w:t xml:space="preserve"> </w:t>
      </w:r>
      <w:r w:rsidR="008E4C18" w:rsidRPr="2E5EC29A">
        <w:rPr>
          <w:b/>
          <w:bCs/>
          <w:sz w:val="28"/>
          <w:szCs w:val="28"/>
        </w:rPr>
        <w:t>to</w:t>
      </w:r>
      <w:r w:rsidRPr="2E5EC29A">
        <w:rPr>
          <w:b/>
          <w:bCs/>
          <w:sz w:val="28"/>
          <w:szCs w:val="28"/>
        </w:rPr>
        <w:t xml:space="preserve"> Patching </w:t>
      </w:r>
      <w:r w:rsidR="008E4C18" w:rsidRPr="2E5EC29A">
        <w:rPr>
          <w:b/>
          <w:bCs/>
          <w:sz w:val="28"/>
          <w:szCs w:val="28"/>
        </w:rPr>
        <w:t>Standard</w:t>
      </w:r>
    </w:p>
    <w:p w14:paraId="674E4979" w14:textId="6077D3D7" w:rsidR="00AE1CEB" w:rsidRDefault="00C1681E" w:rsidP="00C1681E">
      <w:r>
        <w:t xml:space="preserve">In circumstances where compliance with some or </w:t>
      </w:r>
      <w:proofErr w:type="gramStart"/>
      <w:r>
        <w:t xml:space="preserve">all </w:t>
      </w:r>
      <w:r w:rsidR="006A2286">
        <w:t>of</w:t>
      </w:r>
      <w:proofErr w:type="gramEnd"/>
      <w:r w:rsidR="006A2286">
        <w:t xml:space="preserve"> the </w:t>
      </w:r>
      <w:r>
        <w:t xml:space="preserve">Patching </w:t>
      </w:r>
      <w:r w:rsidR="00185D72">
        <w:t xml:space="preserve">Standard </w:t>
      </w:r>
      <w:r>
        <w:t xml:space="preserve">is not achievable in the immediate term, an exception must be documented and approved. This will require completion of an </w:t>
      </w:r>
      <w:hyperlink r:id="rId8" w:history="1">
        <w:r w:rsidRPr="2E5EC29A">
          <w:rPr>
            <w:rStyle w:val="Hyperlink"/>
          </w:rPr>
          <w:t>Exception Request</w:t>
        </w:r>
      </w:hyperlink>
      <w:r>
        <w:t xml:space="preserve"> form</w:t>
      </w:r>
      <w:r w:rsidR="009D5519">
        <w:t>.</w:t>
      </w:r>
      <w:r>
        <w:t xml:space="preserve"> </w:t>
      </w:r>
    </w:p>
    <w:p w14:paraId="57AC4179" w14:textId="66B1143F" w:rsidR="00C1681E" w:rsidRDefault="00AF1674" w:rsidP="00C1681E">
      <w:r>
        <w:t xml:space="preserve">Each system owner will document their </w:t>
      </w:r>
      <w:r w:rsidR="00502E4D">
        <w:t xml:space="preserve">patching </w:t>
      </w:r>
      <w:r>
        <w:t xml:space="preserve">schedule </w:t>
      </w:r>
      <w:r w:rsidR="00502E4D">
        <w:t xml:space="preserve">and submit exception requests for any deviations from the </w:t>
      </w:r>
      <w:r w:rsidR="006B31C0">
        <w:t>standard schedule</w:t>
      </w:r>
      <w:r w:rsidR="00A97D3D">
        <w:t xml:space="preserve">. </w:t>
      </w:r>
      <w:r w:rsidR="00C1681E">
        <w:t>Ex</w:t>
      </w:r>
      <w:r w:rsidR="00DD3544">
        <w:t>ce</w:t>
      </w:r>
      <w:r w:rsidR="00C1681E">
        <w:t>ption</w:t>
      </w:r>
      <w:r w:rsidR="00400A32">
        <w:t>s</w:t>
      </w:r>
      <w:r w:rsidR="00C1681E">
        <w:t xml:space="preserve"> </w:t>
      </w:r>
      <w:r w:rsidR="00400A32">
        <w:t>must</w:t>
      </w:r>
      <w:r w:rsidR="00C1681E">
        <w:t xml:space="preserve"> be requested </w:t>
      </w:r>
      <w:r w:rsidR="3063CE64">
        <w:t>in case</w:t>
      </w:r>
      <w:r w:rsidR="00C1681E">
        <w:t xml:space="preserve"> a system is not being </w:t>
      </w:r>
      <w:r w:rsidR="003468C3">
        <w:t xml:space="preserve">updated to </w:t>
      </w:r>
      <w:r w:rsidR="03EF99F1">
        <w:t>the latest</w:t>
      </w:r>
      <w:r w:rsidR="003468C3">
        <w:t xml:space="preserve"> available patch even though </w:t>
      </w:r>
      <w:r w:rsidR="5FFBA572">
        <w:t>the above</w:t>
      </w:r>
      <w:r w:rsidR="003468C3">
        <w:t xml:space="preserve"> patching schedule is followed.  </w:t>
      </w:r>
    </w:p>
    <w:p w14:paraId="5DB81DB9" w14:textId="77B76D7A" w:rsidR="001C5FCF" w:rsidRDefault="001C5FCF" w:rsidP="00C1681E">
      <w:r>
        <w:t xml:space="preserve">Unsupported application or operating systems are still subject to patching requirements. If vendor support or community support </w:t>
      </w:r>
      <w:proofErr w:type="gramStart"/>
      <w:r>
        <w:t>ceases</w:t>
      </w:r>
      <w:proofErr w:type="gramEnd"/>
      <w:r>
        <w:t xml:space="preserve"> then an exception request must be made.</w:t>
      </w:r>
    </w:p>
    <w:p w14:paraId="61FE0258" w14:textId="38A69DEA" w:rsidR="00C1681E" w:rsidRDefault="00C1681E" w:rsidP="0053538F">
      <w:pPr>
        <w:rPr>
          <w:b/>
          <w:sz w:val="28"/>
          <w:szCs w:val="28"/>
        </w:rPr>
      </w:pPr>
      <w:r>
        <w:rPr>
          <w:b/>
          <w:sz w:val="28"/>
          <w:szCs w:val="28"/>
        </w:rPr>
        <w:t>3.2</w:t>
      </w:r>
      <w:r w:rsidRPr="00C1681E">
        <w:rPr>
          <w:b/>
          <w:sz w:val="28"/>
          <w:szCs w:val="28"/>
        </w:rPr>
        <w:t xml:space="preserve"> </w:t>
      </w:r>
      <w:r>
        <w:rPr>
          <w:b/>
          <w:sz w:val="28"/>
          <w:szCs w:val="28"/>
        </w:rPr>
        <w:t>Monitoring and Tracking</w:t>
      </w:r>
    </w:p>
    <w:p w14:paraId="6B04E4B6" w14:textId="63FA11BE" w:rsidR="00C1681E" w:rsidRDefault="00C1681E" w:rsidP="00C1681E">
      <w:r>
        <w:t xml:space="preserve">Systems must be monitored to ensure that the patches have been applied. ServiceNow will employ an automated method for reporting the </w:t>
      </w:r>
      <w:r w:rsidR="003468C3">
        <w:t>patching compliance. The system owner will ensure all their system</w:t>
      </w:r>
      <w:r w:rsidR="00E70095">
        <w:t>s</w:t>
      </w:r>
      <w:r w:rsidR="003468C3">
        <w:t xml:space="preserve"> </w:t>
      </w:r>
      <w:r w:rsidR="00E70095">
        <w:t xml:space="preserve">are </w:t>
      </w:r>
      <w:r w:rsidR="003468C3">
        <w:t xml:space="preserve">discovered in ServiceNow. The system owner </w:t>
      </w:r>
      <w:r w:rsidR="00937BDB">
        <w:t xml:space="preserve">is </w:t>
      </w:r>
      <w:r w:rsidR="003468C3">
        <w:t xml:space="preserve">responsible </w:t>
      </w:r>
      <w:r w:rsidR="00937BDB">
        <w:t xml:space="preserve">for ensuring </w:t>
      </w:r>
      <w:r w:rsidR="00FF3E6B">
        <w:t xml:space="preserve">patch levels </w:t>
      </w:r>
      <w:r w:rsidR="04D45809">
        <w:t>are following</w:t>
      </w:r>
      <w:r w:rsidR="00FF3E6B">
        <w:t xml:space="preserve"> the standard.</w:t>
      </w:r>
      <w:r w:rsidR="003468C3">
        <w:t xml:space="preserve"> </w:t>
      </w:r>
    </w:p>
    <w:p w14:paraId="552D571F" w14:textId="4C6F97D4" w:rsidR="00445AC4" w:rsidRDefault="000204CE" w:rsidP="00445AC4">
      <w:pPr>
        <w:rPr>
          <w:b/>
          <w:bCs/>
          <w:sz w:val="28"/>
          <w:szCs w:val="28"/>
        </w:rPr>
      </w:pPr>
      <w:r>
        <w:rPr>
          <w:b/>
          <w:sz w:val="28"/>
          <w:szCs w:val="28"/>
        </w:rPr>
        <w:t>3.3</w:t>
      </w:r>
      <w:r w:rsidRPr="00C1681E">
        <w:rPr>
          <w:b/>
          <w:sz w:val="28"/>
          <w:szCs w:val="28"/>
        </w:rPr>
        <w:t xml:space="preserve"> </w:t>
      </w:r>
      <w:r w:rsidR="001E5C66">
        <w:rPr>
          <w:b/>
          <w:sz w:val="28"/>
          <w:szCs w:val="28"/>
        </w:rPr>
        <w:t xml:space="preserve">Patch </w:t>
      </w:r>
      <w:r w:rsidR="007C1D38">
        <w:rPr>
          <w:b/>
          <w:sz w:val="28"/>
          <w:szCs w:val="28"/>
        </w:rPr>
        <w:t>Lifecycle Management</w:t>
      </w:r>
    </w:p>
    <w:p w14:paraId="7A011049" w14:textId="3B817482" w:rsidR="00EF02CA" w:rsidRDefault="007225D5" w:rsidP="00445AC4">
      <w:r>
        <w:t xml:space="preserve">While critical vulnerabilities or bugs </w:t>
      </w:r>
      <w:r w:rsidR="00D8098F">
        <w:t xml:space="preserve">will need immediate remediation, </w:t>
      </w:r>
      <w:r w:rsidR="00FF419E">
        <w:t xml:space="preserve">we need to keep </w:t>
      </w:r>
      <w:r w:rsidR="1CC38C43">
        <w:t>up to date</w:t>
      </w:r>
      <w:r w:rsidR="00FF419E">
        <w:t xml:space="preserve"> with </w:t>
      </w:r>
      <w:r w:rsidR="00BC4BC0">
        <w:t>new software releases and patches for all our systems.</w:t>
      </w:r>
    </w:p>
    <w:p w14:paraId="5D19BA06" w14:textId="531D1433" w:rsidR="00A23C1D" w:rsidRDefault="00F04423" w:rsidP="00C1681E">
      <w:r>
        <w:t xml:space="preserve">Most major vendors put out Security Advisories when a vulnerability is discovered and/or a new patch is released. </w:t>
      </w:r>
      <w:r w:rsidR="006D63BB">
        <w:t>System owners</w:t>
      </w:r>
      <w:r>
        <w:t xml:space="preserve"> will </w:t>
      </w:r>
      <w:r w:rsidR="00C40CBA">
        <w:t xml:space="preserve">have to track </w:t>
      </w:r>
      <w:r w:rsidR="00F45690">
        <w:t xml:space="preserve">and review </w:t>
      </w:r>
      <w:r w:rsidR="00C40CBA">
        <w:t xml:space="preserve">new </w:t>
      </w:r>
      <w:r w:rsidR="00B7225E">
        <w:t xml:space="preserve">software </w:t>
      </w:r>
      <w:r w:rsidR="00C40CBA">
        <w:t xml:space="preserve">releases </w:t>
      </w:r>
      <w:r w:rsidR="00B7225E">
        <w:t>and security advisori</w:t>
      </w:r>
      <w:r w:rsidR="00587E62">
        <w:t xml:space="preserve">es </w:t>
      </w:r>
      <w:r w:rsidR="003408A1">
        <w:t xml:space="preserve">every 30 days. </w:t>
      </w:r>
      <w:r w:rsidR="00673ED8">
        <w:t>S</w:t>
      </w:r>
      <w:r w:rsidR="003408A1">
        <w:t xml:space="preserve">ystem owners </w:t>
      </w:r>
      <w:r w:rsidR="00673ED8">
        <w:t xml:space="preserve">must </w:t>
      </w:r>
      <w:r w:rsidR="6713A033">
        <w:t>sign up</w:t>
      </w:r>
      <w:r w:rsidR="003408A1">
        <w:t xml:space="preserve"> </w:t>
      </w:r>
      <w:r w:rsidR="00617321">
        <w:t xml:space="preserve">for an e-mail notification from vendor </w:t>
      </w:r>
      <w:r w:rsidR="005D29C6">
        <w:t xml:space="preserve">when available </w:t>
      </w:r>
      <w:r w:rsidR="00617321">
        <w:t>and</w:t>
      </w:r>
      <w:r w:rsidR="005E5562">
        <w:t xml:space="preserve"> optionally</w:t>
      </w:r>
      <w:r w:rsidR="00617321">
        <w:t xml:space="preserve"> have a re</w:t>
      </w:r>
      <w:r w:rsidR="005D29C6">
        <w:t xml:space="preserve">gular cadence call with the vendor. </w:t>
      </w:r>
    </w:p>
    <w:p w14:paraId="775B5A05" w14:textId="5A59924C" w:rsidR="005E1C3D" w:rsidRPr="00C1681E" w:rsidRDefault="00594913" w:rsidP="00C1681E">
      <w:pPr>
        <w:rPr>
          <w:b/>
          <w:sz w:val="28"/>
          <w:szCs w:val="28"/>
        </w:rPr>
      </w:pPr>
      <w:r>
        <w:t>System owners will document the process t</w:t>
      </w:r>
      <w:r w:rsidR="00A23C1D">
        <w:t xml:space="preserve">hey use to keep </w:t>
      </w:r>
      <w:r w:rsidR="64C61B00">
        <w:t>up to date</w:t>
      </w:r>
      <w:r w:rsidR="005E1C3D">
        <w:t xml:space="preserve"> with new software releases, security advisories and patches for all our systems.</w:t>
      </w:r>
    </w:p>
    <w:p w14:paraId="77E8574E" w14:textId="5A8EFD43" w:rsidR="003468C3" w:rsidRDefault="003468C3" w:rsidP="0053538F">
      <w:pPr>
        <w:rPr>
          <w:b/>
          <w:sz w:val="28"/>
          <w:szCs w:val="28"/>
        </w:rPr>
      </w:pPr>
      <w:r>
        <w:rPr>
          <w:b/>
          <w:sz w:val="28"/>
          <w:szCs w:val="28"/>
        </w:rPr>
        <w:t>3.</w:t>
      </w:r>
      <w:r w:rsidR="000204CE">
        <w:rPr>
          <w:b/>
          <w:sz w:val="28"/>
          <w:szCs w:val="28"/>
        </w:rPr>
        <w:t>4</w:t>
      </w:r>
      <w:r w:rsidRPr="00C1681E">
        <w:rPr>
          <w:b/>
          <w:sz w:val="28"/>
          <w:szCs w:val="28"/>
        </w:rPr>
        <w:t xml:space="preserve"> </w:t>
      </w:r>
      <w:r>
        <w:rPr>
          <w:b/>
          <w:sz w:val="28"/>
          <w:szCs w:val="28"/>
        </w:rPr>
        <w:t>Confirmation of Closure</w:t>
      </w:r>
    </w:p>
    <w:p w14:paraId="1C27521E" w14:textId="4E0E4747" w:rsidR="003468C3" w:rsidRDefault="003468C3" w:rsidP="16CDB0BF">
      <w:pPr>
        <w:pStyle w:val="Heading2"/>
        <w:numPr>
          <w:ilvl w:val="1"/>
          <w:numId w:val="0"/>
        </w:numPr>
        <w:rPr>
          <w:b w:val="0"/>
        </w:rPr>
      </w:pPr>
      <w:r>
        <w:rPr>
          <w:b w:val="0"/>
        </w:rPr>
        <w:lastRenderedPageBreak/>
        <w:t xml:space="preserve">ServiceNow will generate tickets for any system that falls out of compliance </w:t>
      </w:r>
      <w:r w:rsidR="00B2434E">
        <w:rPr>
          <w:b w:val="0"/>
        </w:rPr>
        <w:t xml:space="preserve">with </w:t>
      </w:r>
      <w:r>
        <w:rPr>
          <w:b w:val="0"/>
        </w:rPr>
        <w:t xml:space="preserve">the </w:t>
      </w:r>
      <w:r w:rsidR="00B2434E">
        <w:rPr>
          <w:b w:val="0"/>
        </w:rPr>
        <w:t>Patching Standard</w:t>
      </w:r>
      <w:r>
        <w:rPr>
          <w:b w:val="0"/>
        </w:rPr>
        <w:t xml:space="preserve">. </w:t>
      </w:r>
      <w:r w:rsidR="00D93D26">
        <w:rPr>
          <w:b w:val="0"/>
        </w:rPr>
        <w:t xml:space="preserve">A standard SLA of 14 days will be applied to these tickets and </w:t>
      </w:r>
      <w:r w:rsidR="4B6EE644">
        <w:rPr>
          <w:b w:val="0"/>
        </w:rPr>
        <w:t>the system</w:t>
      </w:r>
      <w:r w:rsidR="00D93D26">
        <w:rPr>
          <w:b w:val="0"/>
        </w:rPr>
        <w:t xml:space="preserve"> owner would act upon these tickets by either applying the required patch or requesting ex</w:t>
      </w:r>
      <w:r w:rsidR="0053538F">
        <w:rPr>
          <w:b w:val="0"/>
        </w:rPr>
        <w:t>cep</w:t>
      </w:r>
      <w:r w:rsidR="00D93D26">
        <w:rPr>
          <w:b w:val="0"/>
        </w:rPr>
        <w:t xml:space="preserve">tion. </w:t>
      </w:r>
    </w:p>
    <w:p w14:paraId="6B8D58C3" w14:textId="77777777" w:rsidR="003468C3" w:rsidRPr="003468C3" w:rsidRDefault="003468C3" w:rsidP="003468C3"/>
    <w:p w14:paraId="328825CB" w14:textId="47FF9D62" w:rsidR="00D93D26" w:rsidRDefault="00D93D26" w:rsidP="00D93D26">
      <w:pPr>
        <w:numPr>
          <w:ilvl w:val="0"/>
          <w:numId w:val="2"/>
        </w:numPr>
        <w:rPr>
          <w:b/>
          <w:sz w:val="28"/>
          <w:szCs w:val="28"/>
        </w:rPr>
      </w:pPr>
      <w:r>
        <w:rPr>
          <w:b/>
          <w:sz w:val="28"/>
          <w:szCs w:val="28"/>
        </w:rPr>
        <w:t xml:space="preserve">Vulnerability Management </w:t>
      </w:r>
    </w:p>
    <w:p w14:paraId="5702D7F1" w14:textId="6CBB97A8" w:rsidR="00D93D26" w:rsidRDefault="00D93D26" w:rsidP="00D93D26">
      <w:r>
        <w:t xml:space="preserve">Roles and responsibilities for personnel executing the policy will be </w:t>
      </w:r>
      <w:r w:rsidR="13AA97C7">
        <w:t>broken down</w:t>
      </w:r>
      <w:r>
        <w:t xml:space="preserve"> according to the table below:</w:t>
      </w:r>
    </w:p>
    <w:tbl>
      <w:tblPr>
        <w:tblStyle w:val="TableGrid"/>
        <w:tblW w:w="10800" w:type="dxa"/>
        <w:tblInd w:w="-275" w:type="dxa"/>
        <w:tblLook w:val="04A0" w:firstRow="1" w:lastRow="0" w:firstColumn="1" w:lastColumn="0" w:noHBand="0" w:noVBand="1"/>
      </w:tblPr>
      <w:tblGrid>
        <w:gridCol w:w="2642"/>
        <w:gridCol w:w="3520"/>
        <w:gridCol w:w="4638"/>
      </w:tblGrid>
      <w:tr w:rsidR="00D93D26" w14:paraId="0143C5CF" w14:textId="77777777" w:rsidTr="2E5EC29A">
        <w:tc>
          <w:tcPr>
            <w:tcW w:w="2642" w:type="dxa"/>
          </w:tcPr>
          <w:p w14:paraId="0CE94BDA" w14:textId="77777777" w:rsidR="00D93D26" w:rsidRPr="00E73024" w:rsidRDefault="00D93D26" w:rsidP="006A2EF3">
            <w:pPr>
              <w:rPr>
                <w:b/>
              </w:rPr>
            </w:pPr>
            <w:r>
              <w:rPr>
                <w:b/>
              </w:rPr>
              <w:t>Entity</w:t>
            </w:r>
          </w:p>
        </w:tc>
        <w:tc>
          <w:tcPr>
            <w:tcW w:w="3520" w:type="dxa"/>
          </w:tcPr>
          <w:p w14:paraId="6D0FB1AD" w14:textId="3DF6A53B" w:rsidR="00D93D26" w:rsidRPr="00E73024" w:rsidRDefault="00544887" w:rsidP="006A2EF3">
            <w:pPr>
              <w:rPr>
                <w:b/>
              </w:rPr>
            </w:pPr>
            <w:r w:rsidRPr="00544887">
              <w:rPr>
                <w:b/>
              </w:rPr>
              <w:t xml:space="preserve">Vulnerability </w:t>
            </w:r>
            <w:r w:rsidR="00D93D26">
              <w:rPr>
                <w:b/>
              </w:rPr>
              <w:t>Management Role</w:t>
            </w:r>
          </w:p>
        </w:tc>
        <w:tc>
          <w:tcPr>
            <w:tcW w:w="4638" w:type="dxa"/>
          </w:tcPr>
          <w:p w14:paraId="0E201EA1" w14:textId="77777777" w:rsidR="00D93D26" w:rsidRPr="00E73024" w:rsidRDefault="00D93D26" w:rsidP="006A2EF3">
            <w:pPr>
              <w:rPr>
                <w:b/>
              </w:rPr>
            </w:pPr>
            <w:r>
              <w:rPr>
                <w:b/>
              </w:rPr>
              <w:t>Operational Responsibilities</w:t>
            </w:r>
          </w:p>
        </w:tc>
      </w:tr>
      <w:tr w:rsidR="00D93D26" w14:paraId="64617EA4" w14:textId="77777777" w:rsidTr="2E5EC29A">
        <w:tc>
          <w:tcPr>
            <w:tcW w:w="2642" w:type="dxa"/>
          </w:tcPr>
          <w:p w14:paraId="200835F9" w14:textId="77777777" w:rsidR="00D93D26" w:rsidRPr="00E73024" w:rsidRDefault="00D93D26" w:rsidP="006A2EF3">
            <w:pPr>
              <w:rPr>
                <w:b/>
              </w:rPr>
            </w:pPr>
            <w:r w:rsidRPr="00E73024">
              <w:rPr>
                <w:b/>
              </w:rPr>
              <w:t>Vulnerability Management Team</w:t>
            </w:r>
          </w:p>
        </w:tc>
        <w:tc>
          <w:tcPr>
            <w:tcW w:w="3520" w:type="dxa"/>
          </w:tcPr>
          <w:p w14:paraId="760B4588" w14:textId="77777777" w:rsidR="00D93D26" w:rsidRDefault="00D93D26" w:rsidP="006A2EF3">
            <w:pPr>
              <w:tabs>
                <w:tab w:val="left" w:pos="2029"/>
              </w:tabs>
            </w:pPr>
            <w:r>
              <w:t>The Vulnerability Management ensures that in-scope systems are scanned for vulnerabilities on a regularly scheduled basis and that identified vulnerabilities are prioritized according to the risk posed to the organization and reported to the personnel responsible for patching the affected system(s).</w:t>
            </w:r>
          </w:p>
        </w:tc>
        <w:tc>
          <w:tcPr>
            <w:tcW w:w="4638" w:type="dxa"/>
          </w:tcPr>
          <w:p w14:paraId="297760F7" w14:textId="77777777" w:rsidR="00D93D26" w:rsidRDefault="00D93D26" w:rsidP="00D93D26">
            <w:pPr>
              <w:pStyle w:val="ListParagraph"/>
              <w:numPr>
                <w:ilvl w:val="0"/>
                <w:numId w:val="8"/>
              </w:numPr>
            </w:pPr>
            <w:r>
              <w:t>Manage Tenable.io</w:t>
            </w:r>
          </w:p>
          <w:p w14:paraId="63CFAAD6" w14:textId="77777777" w:rsidR="00D93D26" w:rsidRDefault="00D93D26" w:rsidP="00D93D26">
            <w:pPr>
              <w:pStyle w:val="ListParagraph"/>
              <w:numPr>
                <w:ilvl w:val="0"/>
                <w:numId w:val="8"/>
              </w:numPr>
            </w:pPr>
            <w:r>
              <w:t>Analyze &amp; prioritize vulnerability scan data and disseminate reporting.</w:t>
            </w:r>
          </w:p>
          <w:p w14:paraId="30D9BC0B" w14:textId="77777777" w:rsidR="00D93D26" w:rsidRDefault="00D93D26" w:rsidP="00D93D26">
            <w:pPr>
              <w:pStyle w:val="ListParagraph"/>
              <w:numPr>
                <w:ilvl w:val="0"/>
                <w:numId w:val="9"/>
              </w:numPr>
            </w:pPr>
            <w:r>
              <w:t>Issue prioritized remediation recommendations and guidance to Infrastructure &amp; Operations Team.</w:t>
            </w:r>
          </w:p>
          <w:p w14:paraId="2C0FC5D8" w14:textId="77777777" w:rsidR="00D93D26" w:rsidRDefault="00D93D26" w:rsidP="00D93D26">
            <w:pPr>
              <w:pStyle w:val="ListParagraph"/>
              <w:numPr>
                <w:ilvl w:val="0"/>
                <w:numId w:val="9"/>
              </w:numPr>
            </w:pPr>
            <w:r>
              <w:t>Track the vulnerability resolution progress.</w:t>
            </w:r>
          </w:p>
          <w:p w14:paraId="7425ACC2" w14:textId="77777777" w:rsidR="00D93D26" w:rsidRDefault="00D93D26" w:rsidP="00D93D26">
            <w:pPr>
              <w:pStyle w:val="ListParagraph"/>
              <w:numPr>
                <w:ilvl w:val="0"/>
                <w:numId w:val="9"/>
              </w:numPr>
            </w:pPr>
            <w:r>
              <w:t>Report unmitigated vulnerabilities of significance to leadership.</w:t>
            </w:r>
          </w:p>
        </w:tc>
      </w:tr>
      <w:tr w:rsidR="00D93D26" w14:paraId="7E7F9A11" w14:textId="77777777" w:rsidTr="2E5EC29A">
        <w:tc>
          <w:tcPr>
            <w:tcW w:w="2642" w:type="dxa"/>
          </w:tcPr>
          <w:p w14:paraId="0B4456A3" w14:textId="77777777" w:rsidR="00D93D26" w:rsidRPr="00E73024" w:rsidRDefault="00D93D26" w:rsidP="006A2EF3">
            <w:pPr>
              <w:rPr>
                <w:b/>
              </w:rPr>
            </w:pPr>
            <w:r w:rsidRPr="00E73024">
              <w:rPr>
                <w:b/>
              </w:rPr>
              <w:t>Risk Owners</w:t>
            </w:r>
          </w:p>
        </w:tc>
        <w:tc>
          <w:tcPr>
            <w:tcW w:w="3520" w:type="dxa"/>
          </w:tcPr>
          <w:p w14:paraId="57BC64C2" w14:textId="77777777" w:rsidR="00D93D26" w:rsidRDefault="00D93D26" w:rsidP="006A2EF3">
            <w:r>
              <w:t>Risk Owners own the risk associated with a specific set of systems or applications. They work with Infrastructure &amp; Operations to authorize, prioritize, and schedule changes to their systems, or implement acceptable mitigating controls to reduce the risk per the guidance of the Vulnerability Management team.</w:t>
            </w:r>
          </w:p>
        </w:tc>
        <w:tc>
          <w:tcPr>
            <w:tcW w:w="4638" w:type="dxa"/>
          </w:tcPr>
          <w:p w14:paraId="7172537F" w14:textId="77777777" w:rsidR="00D93D26" w:rsidRDefault="00D93D26" w:rsidP="00D93D26">
            <w:pPr>
              <w:pStyle w:val="ListParagraph"/>
              <w:numPr>
                <w:ilvl w:val="0"/>
                <w:numId w:val="10"/>
              </w:numPr>
            </w:pPr>
            <w:r>
              <w:t>Review vulnerability reports.</w:t>
            </w:r>
          </w:p>
          <w:p w14:paraId="49FA13FD" w14:textId="77777777" w:rsidR="00D93D26" w:rsidRDefault="00D93D26" w:rsidP="00D93D26">
            <w:pPr>
              <w:pStyle w:val="ListParagraph"/>
              <w:numPr>
                <w:ilvl w:val="0"/>
                <w:numId w:val="10"/>
              </w:numPr>
            </w:pPr>
            <w:r>
              <w:t>Review corrective actions or mitigating controls recommended by Vulnerability Management team.</w:t>
            </w:r>
          </w:p>
          <w:p w14:paraId="19DDBDA2" w14:textId="77777777" w:rsidR="00D93D26" w:rsidRDefault="00D93D26" w:rsidP="00D93D26">
            <w:pPr>
              <w:pStyle w:val="ListParagraph"/>
              <w:numPr>
                <w:ilvl w:val="0"/>
                <w:numId w:val="11"/>
              </w:numPr>
            </w:pPr>
            <w:r>
              <w:t>Assess the operational impact of the proposed remediations.</w:t>
            </w:r>
          </w:p>
          <w:p w14:paraId="6AC0B8D4" w14:textId="77777777" w:rsidR="00D93D26" w:rsidRDefault="00D93D26" w:rsidP="00D93D26">
            <w:pPr>
              <w:pStyle w:val="ListParagraph"/>
              <w:numPr>
                <w:ilvl w:val="0"/>
                <w:numId w:val="11"/>
              </w:numPr>
            </w:pPr>
            <w:r>
              <w:t>Schedule remediations and configuration changes with responsible patch teams and end users.</w:t>
            </w:r>
          </w:p>
        </w:tc>
      </w:tr>
      <w:tr w:rsidR="00D93D26" w14:paraId="45D1FB17" w14:textId="77777777" w:rsidTr="2E5EC29A">
        <w:tc>
          <w:tcPr>
            <w:tcW w:w="2642" w:type="dxa"/>
          </w:tcPr>
          <w:p w14:paraId="00468474" w14:textId="77777777" w:rsidR="00D93D26" w:rsidRPr="00E73024" w:rsidRDefault="00D93D26" w:rsidP="006A2EF3">
            <w:pPr>
              <w:rPr>
                <w:b/>
              </w:rPr>
            </w:pPr>
            <w:r w:rsidRPr="00E73024">
              <w:rPr>
                <w:b/>
              </w:rPr>
              <w:t>Infrastructure &amp; Operations Team</w:t>
            </w:r>
          </w:p>
        </w:tc>
        <w:tc>
          <w:tcPr>
            <w:tcW w:w="3520" w:type="dxa"/>
          </w:tcPr>
          <w:p w14:paraId="2C53F670" w14:textId="77777777" w:rsidR="00D93D26" w:rsidRDefault="00D93D26" w:rsidP="006A2EF3">
            <w:r>
              <w:t>Infrastructure &amp; Operations patch teams implement corrective actions recommended by the Vulnerability Management Team and authorized by the Risk Owners. They are technical resources that may research and</w:t>
            </w:r>
          </w:p>
          <w:p w14:paraId="2C21E52E" w14:textId="77777777" w:rsidR="00D93D26" w:rsidRDefault="00D93D26" w:rsidP="006A2EF3">
            <w:r>
              <w:t>propose various resolutions and mitigating controls.</w:t>
            </w:r>
          </w:p>
        </w:tc>
        <w:tc>
          <w:tcPr>
            <w:tcW w:w="4638" w:type="dxa"/>
          </w:tcPr>
          <w:p w14:paraId="2B61EA4E" w14:textId="77777777" w:rsidR="00D93D26" w:rsidRDefault="00D93D26" w:rsidP="00D93D26">
            <w:pPr>
              <w:pStyle w:val="ListParagraph"/>
              <w:numPr>
                <w:ilvl w:val="0"/>
                <w:numId w:val="7"/>
              </w:numPr>
            </w:pPr>
            <w:r>
              <w:t>Review vulnerability reports.</w:t>
            </w:r>
          </w:p>
          <w:p w14:paraId="66668EF2" w14:textId="77777777" w:rsidR="00D93D26" w:rsidRDefault="00D93D26" w:rsidP="00D93D26">
            <w:pPr>
              <w:pStyle w:val="ListParagraph"/>
              <w:numPr>
                <w:ilvl w:val="0"/>
                <w:numId w:val="7"/>
              </w:numPr>
            </w:pPr>
            <w:r>
              <w:t>Propose corrective actions or mitigating controls to the Risk Owner(s).</w:t>
            </w:r>
          </w:p>
          <w:p w14:paraId="0786C73D" w14:textId="77777777" w:rsidR="00D93D26" w:rsidRDefault="00D93D26" w:rsidP="00D93D26">
            <w:pPr>
              <w:pStyle w:val="ListParagraph"/>
              <w:numPr>
                <w:ilvl w:val="0"/>
                <w:numId w:val="7"/>
              </w:numPr>
            </w:pPr>
            <w:r>
              <w:t>Implement changes recommended by Vulnerability Management team and authorized by the Risk Owner(s).</w:t>
            </w:r>
          </w:p>
          <w:p w14:paraId="58962329" w14:textId="7AB5B920" w:rsidR="00D93D26" w:rsidRDefault="00D93D26" w:rsidP="00D93D26">
            <w:pPr>
              <w:pStyle w:val="ListParagraph"/>
              <w:numPr>
                <w:ilvl w:val="0"/>
                <w:numId w:val="7"/>
              </w:numPr>
            </w:pPr>
            <w:r>
              <w:t xml:space="preserve">Implement recommended changes in </w:t>
            </w:r>
            <w:r w:rsidR="19C12C48">
              <w:t>the timeframe</w:t>
            </w:r>
            <w:r>
              <w:t xml:space="preserve"> dictated by the Patch Management Policy.</w:t>
            </w:r>
          </w:p>
          <w:p w14:paraId="12CFB7FC" w14:textId="77777777" w:rsidR="00D93D26" w:rsidRDefault="00D93D26" w:rsidP="00D93D26">
            <w:pPr>
              <w:pStyle w:val="ListParagraph"/>
              <w:numPr>
                <w:ilvl w:val="0"/>
                <w:numId w:val="7"/>
              </w:numPr>
            </w:pPr>
            <w:r>
              <w:t>Provide technical justification for vulnerability exceptions as needed.</w:t>
            </w:r>
          </w:p>
        </w:tc>
      </w:tr>
    </w:tbl>
    <w:p w14:paraId="239A7235" w14:textId="77777777" w:rsidR="00D93D26" w:rsidRDefault="00D93D26" w:rsidP="00D93D26">
      <w:r>
        <w:t xml:space="preserve"> </w:t>
      </w:r>
    </w:p>
    <w:p w14:paraId="771C0E5A" w14:textId="77777777" w:rsidR="00D93D26" w:rsidRDefault="00D93D26" w:rsidP="00D93D26">
      <w:pPr>
        <w:rPr>
          <w:rFonts w:ascii="Calibri Light" w:hAnsi="Calibri Light"/>
        </w:rPr>
      </w:pPr>
    </w:p>
    <w:p w14:paraId="1BCA096F" w14:textId="77777777" w:rsidR="00D93D26" w:rsidRDefault="00D93D26" w:rsidP="00D93D26"/>
    <w:p w14:paraId="02F37F14" w14:textId="394E5A2E" w:rsidR="0053538F" w:rsidRPr="0053538F" w:rsidRDefault="0053538F" w:rsidP="0053538F">
      <w:pPr>
        <w:spacing w:after="0" w:line="240" w:lineRule="auto"/>
      </w:pPr>
      <w:r>
        <w:lastRenderedPageBreak/>
        <w:t xml:space="preserve">When available, </w:t>
      </w:r>
      <w:proofErr w:type="spellStart"/>
      <w:r w:rsidR="2874A71D">
        <w:t>Tenable’s</w:t>
      </w:r>
      <w:proofErr w:type="spellEnd"/>
      <w:r w:rsidR="2874A71D">
        <w:t xml:space="preserve"> Vulnerability </w:t>
      </w:r>
      <w:r w:rsidR="52F7092D">
        <w:t xml:space="preserve">Priority </w:t>
      </w:r>
      <w:r w:rsidR="637F622D">
        <w:t>Rating</w:t>
      </w:r>
      <w:r w:rsidR="2874A71D">
        <w:t xml:space="preserve"> (VPR) score </w:t>
      </w:r>
      <w:r>
        <w:t xml:space="preserve">  will be used as the </w:t>
      </w:r>
      <w:proofErr w:type="spellStart"/>
      <w:r>
        <w:t>primary</w:t>
      </w:r>
      <w:r w:rsidRPr="5327C862">
        <w:t>metric</w:t>
      </w:r>
      <w:proofErr w:type="spellEnd"/>
      <w:r w:rsidRPr="5327C862">
        <w:t xml:space="preserve"> for prioritizing patches.</w:t>
      </w:r>
    </w:p>
    <w:p w14:paraId="525EC4BB" w14:textId="77777777" w:rsidR="0053538F" w:rsidRPr="0053538F" w:rsidRDefault="0053538F" w:rsidP="0053538F">
      <w:pPr>
        <w:spacing w:after="0" w:line="240" w:lineRule="auto"/>
        <w:rPr>
          <w:rFonts w:cstheme="minorHAnsi"/>
        </w:rPr>
      </w:pPr>
    </w:p>
    <w:p w14:paraId="18AE290F" w14:textId="77777777" w:rsidR="0053538F" w:rsidRPr="0053538F" w:rsidRDefault="0053538F" w:rsidP="0053538F">
      <w:pPr>
        <w:spacing w:after="0" w:line="240" w:lineRule="auto"/>
        <w:rPr>
          <w:rFonts w:cstheme="minorHAnsi"/>
        </w:rPr>
      </w:pPr>
      <w:r w:rsidRPr="0053538F">
        <w:rPr>
          <w:rFonts w:cstheme="minorHAnsi"/>
        </w:rPr>
        <w:t>Additionally, patches will be deployed using a risk-based approach, specifically taking into</w:t>
      </w:r>
    </w:p>
    <w:p w14:paraId="6C69D6E0" w14:textId="77777777" w:rsidR="0053538F" w:rsidRPr="0053538F" w:rsidRDefault="0053538F" w:rsidP="0053538F">
      <w:pPr>
        <w:spacing w:after="0" w:line="240" w:lineRule="auto"/>
        <w:rPr>
          <w:rFonts w:cstheme="minorHAnsi"/>
        </w:rPr>
      </w:pPr>
      <w:r w:rsidRPr="0053538F">
        <w:rPr>
          <w:rFonts w:cstheme="minorHAnsi"/>
        </w:rPr>
        <w:t>account the following:</w:t>
      </w:r>
    </w:p>
    <w:p w14:paraId="58D06914" w14:textId="77777777" w:rsidR="0053538F" w:rsidRPr="0053538F" w:rsidRDefault="0053538F" w:rsidP="0053538F">
      <w:pPr>
        <w:spacing w:after="0" w:line="240" w:lineRule="auto"/>
        <w:rPr>
          <w:rFonts w:cstheme="minorHAnsi"/>
        </w:rPr>
      </w:pPr>
    </w:p>
    <w:p w14:paraId="57A763ED" w14:textId="101D8DAA" w:rsidR="00D93D26" w:rsidRPr="00D93D26" w:rsidRDefault="00D93D26" w:rsidP="00D93D26">
      <w:pPr>
        <w:pStyle w:val="ListParagraph"/>
        <w:numPr>
          <w:ilvl w:val="0"/>
          <w:numId w:val="12"/>
        </w:numPr>
        <w:spacing w:after="0" w:line="240" w:lineRule="auto"/>
        <w:rPr>
          <w:rFonts w:cstheme="minorHAnsi"/>
        </w:rPr>
      </w:pPr>
      <w:r w:rsidRPr="00D93D26">
        <w:rPr>
          <w:rFonts w:cstheme="minorHAnsi"/>
        </w:rPr>
        <w:t>Criticality of the affected asset(s) to business operations and/or sensitivity of resident data.</w:t>
      </w:r>
    </w:p>
    <w:p w14:paraId="4BB16366" w14:textId="77777777" w:rsidR="00D93D26" w:rsidRPr="00D93D26" w:rsidRDefault="00D93D26" w:rsidP="00D93D26">
      <w:pPr>
        <w:pStyle w:val="ListParagraph"/>
        <w:numPr>
          <w:ilvl w:val="0"/>
          <w:numId w:val="12"/>
        </w:numPr>
        <w:spacing w:after="0" w:line="240" w:lineRule="auto"/>
        <w:rPr>
          <w:rFonts w:cstheme="minorHAnsi"/>
        </w:rPr>
      </w:pPr>
      <w:r w:rsidRPr="00D93D26">
        <w:rPr>
          <w:rFonts w:cstheme="minorHAnsi"/>
        </w:rPr>
        <w:t>Threat intelligence provided by Tenable via Vulnerability Priority Rating (VPR) which is a dynamic value that augments a vulnerability’s CVSS score by factoring in threat metrics such as exploitability, likelihood of attack, etc.</w:t>
      </w:r>
    </w:p>
    <w:p w14:paraId="6F3F13E6" w14:textId="77777777" w:rsidR="00D93D26" w:rsidRPr="00D93D26" w:rsidRDefault="00D93D26" w:rsidP="00D93D26">
      <w:pPr>
        <w:rPr>
          <w:rFonts w:cstheme="minorHAnsi"/>
        </w:rPr>
      </w:pPr>
    </w:p>
    <w:p w14:paraId="61EB4235" w14:textId="77777777" w:rsidR="00D93D26" w:rsidRPr="00D93D26" w:rsidRDefault="00D93D26" w:rsidP="00D93D26">
      <w:pPr>
        <w:rPr>
          <w:rFonts w:cstheme="minorHAnsi"/>
        </w:rPr>
      </w:pPr>
      <w:r w:rsidRPr="00D93D26">
        <w:rPr>
          <w:rFonts w:cstheme="minorHAnsi"/>
        </w:rPr>
        <w:t>The Risk Triage Matrix below will serve as the primary mechanism for prioritizing vulnerabilities and prescribing an appropriate response from the responsible patch team:</w:t>
      </w:r>
    </w:p>
    <w:p w14:paraId="1957DB93" w14:textId="77777777" w:rsidR="00D93D26" w:rsidRDefault="00D93D26" w:rsidP="00D93D26"/>
    <w:tbl>
      <w:tblPr>
        <w:tblStyle w:val="TableGrid"/>
        <w:tblW w:w="11250" w:type="dxa"/>
        <w:tblInd w:w="-905" w:type="dxa"/>
        <w:tblLook w:val="04A0" w:firstRow="1" w:lastRow="0" w:firstColumn="1" w:lastColumn="0" w:noHBand="0" w:noVBand="1"/>
      </w:tblPr>
      <w:tblGrid>
        <w:gridCol w:w="1530"/>
        <w:gridCol w:w="3115"/>
        <w:gridCol w:w="2555"/>
        <w:gridCol w:w="2070"/>
        <w:gridCol w:w="1980"/>
      </w:tblGrid>
      <w:tr w:rsidR="00D93D26" w14:paraId="3751F5ED" w14:textId="77777777" w:rsidTr="2E5EC29A">
        <w:tc>
          <w:tcPr>
            <w:tcW w:w="1530" w:type="dxa"/>
          </w:tcPr>
          <w:p w14:paraId="5A8F5497" w14:textId="77777777" w:rsidR="00D93D26" w:rsidRPr="00C87125" w:rsidRDefault="00D93D26" w:rsidP="006A2EF3">
            <w:pPr>
              <w:rPr>
                <w:b/>
              </w:rPr>
            </w:pPr>
            <w:r w:rsidRPr="00C87125">
              <w:rPr>
                <w:b/>
              </w:rPr>
              <w:t>Risk Category</w:t>
            </w:r>
          </w:p>
        </w:tc>
        <w:tc>
          <w:tcPr>
            <w:tcW w:w="3115" w:type="dxa"/>
          </w:tcPr>
          <w:p w14:paraId="47AD1BEB" w14:textId="77777777" w:rsidR="00D93D26" w:rsidRPr="00C87125" w:rsidRDefault="00D93D26" w:rsidP="006A2EF3">
            <w:pPr>
              <w:rPr>
                <w:b/>
              </w:rPr>
            </w:pPr>
            <w:r w:rsidRPr="00C87125">
              <w:rPr>
                <w:b/>
              </w:rPr>
              <w:t>Definition</w:t>
            </w:r>
          </w:p>
        </w:tc>
        <w:tc>
          <w:tcPr>
            <w:tcW w:w="2555" w:type="dxa"/>
          </w:tcPr>
          <w:p w14:paraId="5714D1E6" w14:textId="77777777" w:rsidR="00D93D26" w:rsidRPr="00C87125" w:rsidRDefault="00D93D26" w:rsidP="006A2EF3">
            <w:pPr>
              <w:rPr>
                <w:b/>
              </w:rPr>
            </w:pPr>
            <w:r w:rsidRPr="00C87125">
              <w:rPr>
                <w:b/>
              </w:rPr>
              <w:t>Criteria</w:t>
            </w:r>
          </w:p>
        </w:tc>
        <w:tc>
          <w:tcPr>
            <w:tcW w:w="2070" w:type="dxa"/>
          </w:tcPr>
          <w:p w14:paraId="54C541FD" w14:textId="77777777" w:rsidR="00D93D26" w:rsidRPr="00C87125" w:rsidRDefault="00D93D26" w:rsidP="006A2EF3">
            <w:pPr>
              <w:rPr>
                <w:b/>
              </w:rPr>
            </w:pPr>
            <w:r w:rsidRPr="00C87125">
              <w:rPr>
                <w:b/>
              </w:rPr>
              <w:t>Response</w:t>
            </w:r>
          </w:p>
        </w:tc>
        <w:tc>
          <w:tcPr>
            <w:tcW w:w="1980" w:type="dxa"/>
          </w:tcPr>
          <w:p w14:paraId="2E817428" w14:textId="77777777" w:rsidR="00D93D26" w:rsidRPr="00C87125" w:rsidRDefault="00D93D26" w:rsidP="006A2EF3">
            <w:pPr>
              <w:rPr>
                <w:b/>
              </w:rPr>
            </w:pPr>
            <w:r w:rsidRPr="00C87125">
              <w:rPr>
                <w:b/>
              </w:rPr>
              <w:t>SLA</w:t>
            </w:r>
          </w:p>
        </w:tc>
      </w:tr>
      <w:tr w:rsidR="00D93D26" w14:paraId="48B0B242" w14:textId="77777777" w:rsidTr="2E5EC29A">
        <w:tc>
          <w:tcPr>
            <w:tcW w:w="1530" w:type="dxa"/>
          </w:tcPr>
          <w:p w14:paraId="5E54654E" w14:textId="77777777" w:rsidR="00D93D26" w:rsidRPr="00C87125" w:rsidRDefault="00D93D26" w:rsidP="006A2EF3">
            <w:pPr>
              <w:rPr>
                <w:b/>
              </w:rPr>
            </w:pPr>
            <w:r w:rsidRPr="00C87125">
              <w:rPr>
                <w:b/>
              </w:rPr>
              <w:t>Emergency</w:t>
            </w:r>
          </w:p>
        </w:tc>
        <w:tc>
          <w:tcPr>
            <w:tcW w:w="3115" w:type="dxa"/>
          </w:tcPr>
          <w:p w14:paraId="66BF43DD" w14:textId="77777777" w:rsidR="00D93D26" w:rsidRDefault="00D93D26" w:rsidP="006A2EF3">
            <w:r>
              <w:t>Exposure poses imminent and unacceptable risk to:</w:t>
            </w:r>
          </w:p>
          <w:p w14:paraId="529B7004" w14:textId="77777777" w:rsidR="00D93D26" w:rsidRDefault="00D93D26" w:rsidP="006A2EF3">
            <w:r>
              <w:t>• Tier 1 systems</w:t>
            </w:r>
          </w:p>
          <w:p w14:paraId="30253786" w14:textId="77777777" w:rsidR="00D93D26" w:rsidRDefault="00D93D26" w:rsidP="006A2EF3">
            <w:r>
              <w:t>• Critical Business Service(s)</w:t>
            </w:r>
          </w:p>
          <w:p w14:paraId="1ECFE301" w14:textId="77777777" w:rsidR="00D93D26" w:rsidRDefault="00D93D26" w:rsidP="006A2EF3">
            <w:r>
              <w:t>• Public-facing systems (Perimeter/DMZ)</w:t>
            </w:r>
          </w:p>
        </w:tc>
        <w:tc>
          <w:tcPr>
            <w:tcW w:w="2555" w:type="dxa"/>
          </w:tcPr>
          <w:p w14:paraId="2844503E" w14:textId="3EB08991" w:rsidR="00D93D26" w:rsidRDefault="00D93D26" w:rsidP="006A2EF3">
            <w:r>
              <w:t>• VPR 9-10</w:t>
            </w:r>
          </w:p>
          <w:p w14:paraId="5FC71ACF" w14:textId="77777777" w:rsidR="00D93D26" w:rsidRDefault="00D93D26" w:rsidP="006A2EF3">
            <w:r>
              <w:t>• Exploit (any of the following)</w:t>
            </w:r>
          </w:p>
          <w:p w14:paraId="745C718E" w14:textId="77777777" w:rsidR="00D93D26" w:rsidRDefault="00D93D26" w:rsidP="006A2EF3">
            <w:r>
              <w:t>-Available</w:t>
            </w:r>
          </w:p>
          <w:p w14:paraId="197D462E" w14:textId="77777777" w:rsidR="00D93D26" w:rsidRDefault="00D93D26" w:rsidP="006A2EF3">
            <w:r>
              <w:t>-Forthcoming</w:t>
            </w:r>
          </w:p>
          <w:p w14:paraId="75FA1445" w14:textId="77777777" w:rsidR="00D93D26" w:rsidRDefault="00D93D26" w:rsidP="006A2EF3">
            <w:r>
              <w:t>- Existing tools (Exploit Kit)</w:t>
            </w:r>
          </w:p>
          <w:p w14:paraId="15E898CD" w14:textId="77777777" w:rsidR="00D93D26" w:rsidRDefault="00D93D26" w:rsidP="006A2EF3">
            <w:r>
              <w:t>• No mitigations or workarounds available</w:t>
            </w:r>
          </w:p>
        </w:tc>
        <w:tc>
          <w:tcPr>
            <w:tcW w:w="2070" w:type="dxa"/>
          </w:tcPr>
          <w:p w14:paraId="173A9C29" w14:textId="77777777" w:rsidR="00D93D26" w:rsidRDefault="00D93D26" w:rsidP="006A2EF3">
            <w:r>
              <w:t>Emergency patching of all affected</w:t>
            </w:r>
          </w:p>
          <w:p w14:paraId="3E858066" w14:textId="77777777" w:rsidR="00D93D26" w:rsidRDefault="00D93D26" w:rsidP="006A2EF3">
            <w:r>
              <w:t>systems (Tiers 1-3)</w:t>
            </w:r>
          </w:p>
        </w:tc>
        <w:tc>
          <w:tcPr>
            <w:tcW w:w="1980" w:type="dxa"/>
          </w:tcPr>
          <w:p w14:paraId="229BA90A" w14:textId="77777777" w:rsidR="00D93D26" w:rsidRDefault="00D93D26" w:rsidP="006A2EF3">
            <w:r>
              <w:t>≤</w:t>
            </w:r>
            <w:r w:rsidRPr="00364F62">
              <w:t>7 Days</w:t>
            </w:r>
          </w:p>
        </w:tc>
      </w:tr>
      <w:tr w:rsidR="00D93D26" w14:paraId="3CF8C3CF" w14:textId="77777777" w:rsidTr="2E5EC29A">
        <w:tc>
          <w:tcPr>
            <w:tcW w:w="1530" w:type="dxa"/>
          </w:tcPr>
          <w:p w14:paraId="3DB36EB6" w14:textId="77777777" w:rsidR="00D93D26" w:rsidRPr="00C87125" w:rsidRDefault="00D93D26" w:rsidP="006A2EF3">
            <w:pPr>
              <w:rPr>
                <w:b/>
              </w:rPr>
            </w:pPr>
            <w:r w:rsidRPr="00C87125">
              <w:rPr>
                <w:b/>
              </w:rPr>
              <w:t>Critical</w:t>
            </w:r>
          </w:p>
        </w:tc>
        <w:tc>
          <w:tcPr>
            <w:tcW w:w="3115" w:type="dxa"/>
          </w:tcPr>
          <w:p w14:paraId="27AB02B4" w14:textId="77777777" w:rsidR="00D93D26" w:rsidRDefault="00D93D26" w:rsidP="006A2EF3">
            <w:r>
              <w:t>Exposure poses urgent &amp; unacceptable risk to:</w:t>
            </w:r>
          </w:p>
          <w:p w14:paraId="66936AE9" w14:textId="77777777" w:rsidR="00D93D26" w:rsidRDefault="00D93D26" w:rsidP="006A2EF3">
            <w:r>
              <w:t>• Tier 1 systems</w:t>
            </w:r>
          </w:p>
          <w:p w14:paraId="40795D56" w14:textId="77777777" w:rsidR="00D93D26" w:rsidRDefault="00D93D26" w:rsidP="006A2EF3">
            <w:r>
              <w:t>• Critical Business Service(s)</w:t>
            </w:r>
          </w:p>
          <w:p w14:paraId="0AFE8D47" w14:textId="77777777" w:rsidR="00D93D26" w:rsidRDefault="00D93D26" w:rsidP="006A2EF3">
            <w:r>
              <w:t>• Public-facing systems (Perimeter/DMZ)</w:t>
            </w:r>
          </w:p>
        </w:tc>
        <w:tc>
          <w:tcPr>
            <w:tcW w:w="2555" w:type="dxa"/>
          </w:tcPr>
          <w:p w14:paraId="627E98E2" w14:textId="4CE833D2" w:rsidR="00D93D26" w:rsidRDefault="00D93D26" w:rsidP="006A2EF3">
            <w:r>
              <w:t>• VPR 7-</w:t>
            </w:r>
            <w:r w:rsidR="068959C0">
              <w:t xml:space="preserve">8.9 </w:t>
            </w:r>
          </w:p>
          <w:p w14:paraId="2DBC09DE" w14:textId="77777777" w:rsidR="00D93D26" w:rsidRDefault="00D93D26" w:rsidP="006A2EF3">
            <w:r>
              <w:t>• Exploit (any of the following)</w:t>
            </w:r>
          </w:p>
          <w:p w14:paraId="21D3557A" w14:textId="77777777" w:rsidR="00D93D26" w:rsidRDefault="00D93D26" w:rsidP="006A2EF3">
            <w:r>
              <w:t>- Available</w:t>
            </w:r>
          </w:p>
          <w:p w14:paraId="4382FC44" w14:textId="77777777" w:rsidR="00D93D26" w:rsidRDefault="00D93D26" w:rsidP="006A2EF3">
            <w:r>
              <w:t>- Forthcoming</w:t>
            </w:r>
          </w:p>
          <w:p w14:paraId="13149978" w14:textId="77777777" w:rsidR="00D93D26" w:rsidRDefault="00D93D26" w:rsidP="006A2EF3">
            <w:r>
              <w:t>- Existing tools {Exploit Kit)</w:t>
            </w:r>
          </w:p>
          <w:p w14:paraId="18503F21" w14:textId="77777777" w:rsidR="00D93D26" w:rsidRDefault="00D93D26" w:rsidP="006A2EF3">
            <w:r>
              <w:t>• Mitigations available</w:t>
            </w:r>
          </w:p>
        </w:tc>
        <w:tc>
          <w:tcPr>
            <w:tcW w:w="2070" w:type="dxa"/>
          </w:tcPr>
          <w:p w14:paraId="599280BF" w14:textId="77777777" w:rsidR="00D93D26" w:rsidRDefault="00D93D26" w:rsidP="006A2EF3">
            <w:r>
              <w:t>• Emergency patching of affected Tier 1</w:t>
            </w:r>
          </w:p>
          <w:p w14:paraId="6461FC39" w14:textId="77777777" w:rsidR="00D93D26" w:rsidRDefault="00D93D26" w:rsidP="006A2EF3">
            <w:r>
              <w:t>systems</w:t>
            </w:r>
          </w:p>
          <w:p w14:paraId="1E15F292" w14:textId="77777777" w:rsidR="00D93D26" w:rsidRDefault="00D93D26" w:rsidP="006A2EF3">
            <w:r>
              <w:t>• Normal patch schedule for all other affected systems</w:t>
            </w:r>
          </w:p>
        </w:tc>
        <w:tc>
          <w:tcPr>
            <w:tcW w:w="1980" w:type="dxa"/>
          </w:tcPr>
          <w:p w14:paraId="4B07990A" w14:textId="77777777" w:rsidR="00D93D26" w:rsidRDefault="00D93D26" w:rsidP="00D93D26">
            <w:pPr>
              <w:pStyle w:val="ListParagraph"/>
              <w:numPr>
                <w:ilvl w:val="0"/>
                <w:numId w:val="13"/>
              </w:numPr>
            </w:pPr>
            <w:r>
              <w:t>≤</w:t>
            </w:r>
            <w:r w:rsidRPr="00364F62">
              <w:t>7 Days</w:t>
            </w:r>
            <w:r>
              <w:t xml:space="preserve"> (Tier 1)</w:t>
            </w:r>
          </w:p>
          <w:p w14:paraId="7D86F1D7" w14:textId="77777777" w:rsidR="00D93D26" w:rsidRDefault="00D93D26" w:rsidP="00D93D26">
            <w:pPr>
              <w:pStyle w:val="ListParagraph"/>
              <w:numPr>
                <w:ilvl w:val="0"/>
                <w:numId w:val="13"/>
              </w:numPr>
            </w:pPr>
            <w:r>
              <w:t>≤30</w:t>
            </w:r>
            <w:r w:rsidRPr="00364F62">
              <w:t xml:space="preserve"> Days</w:t>
            </w:r>
          </w:p>
        </w:tc>
      </w:tr>
      <w:tr w:rsidR="00D93D26" w14:paraId="3C3F687F" w14:textId="77777777" w:rsidTr="2E5EC29A">
        <w:tc>
          <w:tcPr>
            <w:tcW w:w="1530" w:type="dxa"/>
          </w:tcPr>
          <w:p w14:paraId="2E7CBC09" w14:textId="77777777" w:rsidR="00D93D26" w:rsidRPr="00C87125" w:rsidRDefault="00D93D26" w:rsidP="006A2EF3">
            <w:pPr>
              <w:rPr>
                <w:b/>
              </w:rPr>
            </w:pPr>
            <w:r w:rsidRPr="00C87125">
              <w:rPr>
                <w:b/>
              </w:rPr>
              <w:t>High</w:t>
            </w:r>
          </w:p>
        </w:tc>
        <w:tc>
          <w:tcPr>
            <w:tcW w:w="3115" w:type="dxa"/>
          </w:tcPr>
          <w:p w14:paraId="024664F6" w14:textId="77777777" w:rsidR="00D93D26" w:rsidRDefault="00D93D26" w:rsidP="006A2EF3">
            <w:r>
              <w:t>Exposure poses likely and partially acceptable</w:t>
            </w:r>
          </w:p>
          <w:p w14:paraId="619BF3FA" w14:textId="77777777" w:rsidR="00D93D26" w:rsidRDefault="00D93D26" w:rsidP="006A2EF3">
            <w:r>
              <w:t>risk pending successful remediation or</w:t>
            </w:r>
          </w:p>
          <w:p w14:paraId="36EBAA05" w14:textId="77777777" w:rsidR="00D93D26" w:rsidRDefault="00D93D26" w:rsidP="006A2EF3">
            <w:r>
              <w:t>mitigation</w:t>
            </w:r>
          </w:p>
        </w:tc>
        <w:tc>
          <w:tcPr>
            <w:tcW w:w="2555" w:type="dxa"/>
          </w:tcPr>
          <w:p w14:paraId="09E65763" w14:textId="6336726C" w:rsidR="00D93D26" w:rsidRDefault="00D93D26" w:rsidP="006A2EF3">
            <w:r>
              <w:t>• VPR 4-</w:t>
            </w:r>
            <w:r w:rsidR="01173EE7">
              <w:t xml:space="preserve">6.9 </w:t>
            </w:r>
          </w:p>
          <w:p w14:paraId="64B33513" w14:textId="77777777" w:rsidR="00D93D26" w:rsidRDefault="00D93D26" w:rsidP="006A2EF3">
            <w:r>
              <w:t>• Exploit difficult to execute or non-existent</w:t>
            </w:r>
          </w:p>
          <w:p w14:paraId="4A07F803" w14:textId="1C9A6471" w:rsidR="00D93D26" w:rsidRDefault="00D93D26" w:rsidP="006A2EF3">
            <w:r>
              <w:t xml:space="preserve">• Mitigations unavailable or </w:t>
            </w:r>
            <w:r w:rsidR="7224C6FE">
              <w:t>difficult</w:t>
            </w:r>
            <w:r>
              <w:t xml:space="preserve"> to implement</w:t>
            </w:r>
          </w:p>
          <w:p w14:paraId="2EC26A53" w14:textId="400ABAE8" w:rsidR="00D93D26" w:rsidRDefault="00D93D26" w:rsidP="006A2EF3">
            <w:r>
              <w:t>(</w:t>
            </w:r>
            <w:r w:rsidR="192FB795">
              <w:t>Operationally</w:t>
            </w:r>
            <w:r>
              <w:t xml:space="preserve"> unfeasible)</w:t>
            </w:r>
          </w:p>
        </w:tc>
        <w:tc>
          <w:tcPr>
            <w:tcW w:w="2070" w:type="dxa"/>
          </w:tcPr>
          <w:p w14:paraId="7375C6D2" w14:textId="77777777" w:rsidR="00D93D26" w:rsidRDefault="00D93D26" w:rsidP="006A2EF3">
            <w:r>
              <w:t>• Patching required</w:t>
            </w:r>
          </w:p>
          <w:p w14:paraId="085949DF" w14:textId="77777777" w:rsidR="00D93D26" w:rsidRDefault="00D93D26" w:rsidP="006A2EF3">
            <w:r>
              <w:t>• Normal patch schedule for all affected systems</w:t>
            </w:r>
          </w:p>
          <w:p w14:paraId="6473B2EC" w14:textId="77777777" w:rsidR="00D93D26" w:rsidRDefault="00D93D26" w:rsidP="006A2EF3">
            <w:r>
              <w:t>• Long-term mitigation unacceptable</w:t>
            </w:r>
          </w:p>
        </w:tc>
        <w:tc>
          <w:tcPr>
            <w:tcW w:w="1980" w:type="dxa"/>
          </w:tcPr>
          <w:p w14:paraId="45A3E971" w14:textId="77777777" w:rsidR="00D93D26" w:rsidRDefault="00D93D26" w:rsidP="006A2EF3">
            <w:r>
              <w:t>≤60</w:t>
            </w:r>
            <w:r w:rsidRPr="00364F62">
              <w:t xml:space="preserve"> Days</w:t>
            </w:r>
          </w:p>
        </w:tc>
      </w:tr>
      <w:tr w:rsidR="00D93D26" w14:paraId="49CE181D" w14:textId="77777777" w:rsidTr="2E5EC29A">
        <w:tc>
          <w:tcPr>
            <w:tcW w:w="1530" w:type="dxa"/>
          </w:tcPr>
          <w:p w14:paraId="67989ECF" w14:textId="77777777" w:rsidR="00D93D26" w:rsidRPr="00C87125" w:rsidRDefault="00D93D26" w:rsidP="006A2EF3">
            <w:pPr>
              <w:rPr>
                <w:b/>
              </w:rPr>
            </w:pPr>
            <w:r w:rsidRPr="00C87125">
              <w:rPr>
                <w:b/>
              </w:rPr>
              <w:t>Moderate</w:t>
            </w:r>
          </w:p>
        </w:tc>
        <w:tc>
          <w:tcPr>
            <w:tcW w:w="3115" w:type="dxa"/>
          </w:tcPr>
          <w:p w14:paraId="651160C3" w14:textId="77777777" w:rsidR="00D93D26" w:rsidRDefault="00D93D26" w:rsidP="006A2EF3">
            <w:r>
              <w:t>Exposure poses an acceptable amount of risk</w:t>
            </w:r>
          </w:p>
          <w:p w14:paraId="66B9F274" w14:textId="77777777" w:rsidR="00D93D26" w:rsidRDefault="00D93D26" w:rsidP="006A2EF3">
            <w:r>
              <w:t>pending successful remediation and mitigation</w:t>
            </w:r>
          </w:p>
        </w:tc>
        <w:tc>
          <w:tcPr>
            <w:tcW w:w="2555" w:type="dxa"/>
          </w:tcPr>
          <w:p w14:paraId="06972F46" w14:textId="019BB4AA" w:rsidR="00D93D26" w:rsidRDefault="00D93D26" w:rsidP="006A2EF3">
            <w:r>
              <w:t>• VPR&lt;4</w:t>
            </w:r>
          </w:p>
          <w:p w14:paraId="70FD4FD1" w14:textId="77777777" w:rsidR="00D93D26" w:rsidRDefault="00D93D26" w:rsidP="006A2EF3">
            <w:r>
              <w:t>• No known exploit</w:t>
            </w:r>
          </w:p>
          <w:p w14:paraId="40EBF864" w14:textId="77777777" w:rsidR="00D93D26" w:rsidRDefault="00D93D26" w:rsidP="006A2EF3">
            <w:r>
              <w:t>• Theoretical vulnerability</w:t>
            </w:r>
          </w:p>
          <w:p w14:paraId="37A4EAB9" w14:textId="77777777" w:rsidR="00D93D26" w:rsidRDefault="00D93D26" w:rsidP="006A2EF3">
            <w:r>
              <w:t>• Mitigations easily implemented</w:t>
            </w:r>
          </w:p>
        </w:tc>
        <w:tc>
          <w:tcPr>
            <w:tcW w:w="2070" w:type="dxa"/>
          </w:tcPr>
          <w:p w14:paraId="4CCD7F3E" w14:textId="77777777" w:rsidR="00D93D26" w:rsidRDefault="00D93D26" w:rsidP="006A2EF3">
            <w:r>
              <w:t>• Patching optional</w:t>
            </w:r>
          </w:p>
          <w:p w14:paraId="029744AB" w14:textId="77777777" w:rsidR="00D93D26" w:rsidRDefault="00D93D26" w:rsidP="006A2EF3">
            <w:r>
              <w:t>• Normal patch schedule for all affected systems</w:t>
            </w:r>
          </w:p>
          <w:p w14:paraId="0032111E" w14:textId="77777777" w:rsidR="00D93D26" w:rsidRDefault="00D93D26" w:rsidP="006A2EF3">
            <w:r>
              <w:lastRenderedPageBreak/>
              <w:t>• Long-term mitigation plans acceptable</w:t>
            </w:r>
          </w:p>
        </w:tc>
        <w:tc>
          <w:tcPr>
            <w:tcW w:w="1980" w:type="dxa"/>
          </w:tcPr>
          <w:p w14:paraId="1BC759D6" w14:textId="77777777" w:rsidR="00D93D26" w:rsidRDefault="00D93D26" w:rsidP="006A2EF3">
            <w:r>
              <w:lastRenderedPageBreak/>
              <w:t>≤90</w:t>
            </w:r>
            <w:r w:rsidRPr="00364F62">
              <w:t xml:space="preserve"> Days</w:t>
            </w:r>
          </w:p>
        </w:tc>
      </w:tr>
    </w:tbl>
    <w:p w14:paraId="027FF505" w14:textId="77777777" w:rsidR="00D93D26" w:rsidRDefault="00D93D26" w:rsidP="00D93D26"/>
    <w:p w14:paraId="01E76430" w14:textId="77777777" w:rsidR="00D93D26" w:rsidRDefault="00D93D26" w:rsidP="00D93D26"/>
    <w:p w14:paraId="38E59200" w14:textId="767350BF" w:rsidR="0053538F" w:rsidRPr="0053538F" w:rsidRDefault="0053538F" w:rsidP="0053538F">
      <w:pPr>
        <w:pStyle w:val="ListParagraph"/>
        <w:numPr>
          <w:ilvl w:val="1"/>
          <w:numId w:val="15"/>
        </w:numPr>
        <w:rPr>
          <w:b/>
          <w:sz w:val="28"/>
          <w:szCs w:val="28"/>
        </w:rPr>
      </w:pPr>
      <w:r>
        <w:rPr>
          <w:b/>
          <w:sz w:val="28"/>
          <w:szCs w:val="28"/>
        </w:rPr>
        <w:t xml:space="preserve"> </w:t>
      </w:r>
      <w:r w:rsidRPr="0053538F">
        <w:rPr>
          <w:b/>
          <w:sz w:val="28"/>
          <w:szCs w:val="28"/>
        </w:rPr>
        <w:t xml:space="preserve">Vulnerability Management </w:t>
      </w:r>
    </w:p>
    <w:p w14:paraId="533C6344" w14:textId="77777777" w:rsidR="00D93D26" w:rsidRPr="00D66F1E" w:rsidRDefault="00D93D26" w:rsidP="00D93D26"/>
    <w:tbl>
      <w:tblPr>
        <w:tblStyle w:val="TableGrid"/>
        <w:tblW w:w="11160" w:type="dxa"/>
        <w:tblInd w:w="-815" w:type="dxa"/>
        <w:tblLook w:val="04A0" w:firstRow="1" w:lastRow="0" w:firstColumn="1" w:lastColumn="0" w:noHBand="0" w:noVBand="1"/>
      </w:tblPr>
      <w:tblGrid>
        <w:gridCol w:w="3931"/>
        <w:gridCol w:w="4709"/>
        <w:gridCol w:w="2520"/>
      </w:tblGrid>
      <w:tr w:rsidR="00D93D26" w14:paraId="444DDC25" w14:textId="77777777" w:rsidTr="006A2EF3">
        <w:tc>
          <w:tcPr>
            <w:tcW w:w="3931" w:type="dxa"/>
          </w:tcPr>
          <w:p w14:paraId="4EB907C3" w14:textId="77777777" w:rsidR="00D93D26" w:rsidRPr="00D66F1E" w:rsidRDefault="00D93D26" w:rsidP="006A2EF3">
            <w:pPr>
              <w:rPr>
                <w:b/>
                <w:bCs/>
              </w:rPr>
            </w:pPr>
            <w:r w:rsidRPr="00D66F1E">
              <w:rPr>
                <w:b/>
                <w:bCs/>
              </w:rPr>
              <w:t>Risk Category</w:t>
            </w:r>
          </w:p>
        </w:tc>
        <w:tc>
          <w:tcPr>
            <w:tcW w:w="4709" w:type="dxa"/>
          </w:tcPr>
          <w:p w14:paraId="2B6B986F" w14:textId="77777777" w:rsidR="00D93D26" w:rsidRPr="00D66F1E" w:rsidRDefault="00D93D26" w:rsidP="006A2EF3">
            <w:pPr>
              <w:rPr>
                <w:b/>
                <w:bCs/>
              </w:rPr>
            </w:pPr>
            <w:r w:rsidRPr="00D66F1E">
              <w:rPr>
                <w:b/>
                <w:bCs/>
              </w:rPr>
              <w:t>Confirmation Process</w:t>
            </w:r>
          </w:p>
        </w:tc>
        <w:tc>
          <w:tcPr>
            <w:tcW w:w="2520" w:type="dxa"/>
          </w:tcPr>
          <w:p w14:paraId="59C3B6EF" w14:textId="77777777" w:rsidR="00D93D26" w:rsidRPr="00D66F1E" w:rsidRDefault="00D93D26" w:rsidP="006A2EF3">
            <w:pPr>
              <w:rPr>
                <w:b/>
                <w:bCs/>
              </w:rPr>
            </w:pPr>
            <w:r w:rsidRPr="00D66F1E">
              <w:rPr>
                <w:b/>
                <w:bCs/>
              </w:rPr>
              <w:t>SLA</w:t>
            </w:r>
          </w:p>
        </w:tc>
      </w:tr>
      <w:tr w:rsidR="00D93D26" w14:paraId="452F235F" w14:textId="77777777" w:rsidTr="006A2EF3">
        <w:trPr>
          <w:trHeight w:val="1223"/>
        </w:trPr>
        <w:tc>
          <w:tcPr>
            <w:tcW w:w="3931" w:type="dxa"/>
          </w:tcPr>
          <w:p w14:paraId="7A0351CD" w14:textId="77777777" w:rsidR="00D93D26" w:rsidRPr="00D66F1E" w:rsidRDefault="00D93D26" w:rsidP="006A2EF3">
            <w:pPr>
              <w:rPr>
                <w:b/>
                <w:bCs/>
              </w:rPr>
            </w:pPr>
            <w:r w:rsidRPr="00D66F1E">
              <w:rPr>
                <w:b/>
                <w:bCs/>
              </w:rPr>
              <w:t>Emergency\Critical (Tier 1)</w:t>
            </w:r>
          </w:p>
        </w:tc>
        <w:tc>
          <w:tcPr>
            <w:tcW w:w="4709" w:type="dxa"/>
          </w:tcPr>
          <w:p w14:paraId="6C6627EC" w14:textId="77777777" w:rsidR="00D93D26" w:rsidRDefault="00D93D26" w:rsidP="006A2EF3">
            <w:r>
              <w:t>Upon completion of remediation a task should be created in ServiceNow requesting VM team to rescan objects and report findings</w:t>
            </w:r>
          </w:p>
        </w:tc>
        <w:tc>
          <w:tcPr>
            <w:tcW w:w="2520" w:type="dxa"/>
          </w:tcPr>
          <w:p w14:paraId="26166BB7" w14:textId="77777777" w:rsidR="00D93D26" w:rsidRDefault="00D93D26" w:rsidP="006A2EF3">
            <w:r>
              <w:t>≤24hrs</w:t>
            </w:r>
          </w:p>
        </w:tc>
      </w:tr>
      <w:tr w:rsidR="00D93D26" w14:paraId="5EC2EE5A" w14:textId="77777777" w:rsidTr="006A2EF3">
        <w:tc>
          <w:tcPr>
            <w:tcW w:w="3931" w:type="dxa"/>
          </w:tcPr>
          <w:p w14:paraId="3C6CCFD3" w14:textId="77777777" w:rsidR="00D93D26" w:rsidRPr="00D66F1E" w:rsidRDefault="00D93D26" w:rsidP="006A2EF3">
            <w:pPr>
              <w:rPr>
                <w:b/>
                <w:bCs/>
              </w:rPr>
            </w:pPr>
            <w:r w:rsidRPr="00D66F1E">
              <w:rPr>
                <w:b/>
                <w:bCs/>
              </w:rPr>
              <w:t xml:space="preserve">Critical </w:t>
            </w:r>
          </w:p>
        </w:tc>
        <w:tc>
          <w:tcPr>
            <w:tcW w:w="4709" w:type="dxa"/>
          </w:tcPr>
          <w:p w14:paraId="356DA31A" w14:textId="77777777" w:rsidR="00D93D26" w:rsidRDefault="00D93D26" w:rsidP="006A2EF3">
            <w:r>
              <w:t>Operations to validate remediation is complete.  VM team will monitor via regularly scheduled scanning and report additional findings as needed.</w:t>
            </w:r>
          </w:p>
          <w:p w14:paraId="4A16E0EE" w14:textId="77777777" w:rsidR="00D93D26" w:rsidRDefault="00D93D26" w:rsidP="006A2EF3"/>
        </w:tc>
        <w:tc>
          <w:tcPr>
            <w:tcW w:w="2520" w:type="dxa"/>
          </w:tcPr>
          <w:p w14:paraId="6ABFE50C" w14:textId="77777777" w:rsidR="00D93D26" w:rsidRDefault="00D93D26" w:rsidP="006A2EF3">
            <w:r>
              <w:t>≤30 Days</w:t>
            </w:r>
          </w:p>
        </w:tc>
      </w:tr>
      <w:tr w:rsidR="00D93D26" w14:paraId="256C3918" w14:textId="77777777" w:rsidTr="006A2EF3">
        <w:tc>
          <w:tcPr>
            <w:tcW w:w="3931" w:type="dxa"/>
          </w:tcPr>
          <w:p w14:paraId="773EC93C" w14:textId="77777777" w:rsidR="00D93D26" w:rsidRPr="00D66F1E" w:rsidRDefault="00D93D26" w:rsidP="006A2EF3">
            <w:pPr>
              <w:rPr>
                <w:b/>
                <w:bCs/>
              </w:rPr>
            </w:pPr>
            <w:r w:rsidRPr="00D66F1E">
              <w:rPr>
                <w:b/>
                <w:bCs/>
              </w:rPr>
              <w:t>High</w:t>
            </w:r>
          </w:p>
        </w:tc>
        <w:tc>
          <w:tcPr>
            <w:tcW w:w="4709" w:type="dxa"/>
          </w:tcPr>
          <w:p w14:paraId="3EBAFB22" w14:textId="77777777" w:rsidR="00D93D26" w:rsidRDefault="00D93D26" w:rsidP="006A2EF3">
            <w:r>
              <w:t>Operations to validate remediation is complete.  VM team will monitor via regularly scheduled scanning and report additional findings as needed.</w:t>
            </w:r>
          </w:p>
          <w:p w14:paraId="26411667" w14:textId="77777777" w:rsidR="00D93D26" w:rsidRDefault="00D93D26" w:rsidP="006A2EF3"/>
        </w:tc>
        <w:tc>
          <w:tcPr>
            <w:tcW w:w="2520" w:type="dxa"/>
          </w:tcPr>
          <w:p w14:paraId="2A053919" w14:textId="77777777" w:rsidR="00D93D26" w:rsidRDefault="00D93D26" w:rsidP="006A2EF3">
            <w:r>
              <w:t>≤60 Days</w:t>
            </w:r>
          </w:p>
        </w:tc>
      </w:tr>
      <w:tr w:rsidR="00D93D26" w14:paraId="4F34C07F" w14:textId="77777777" w:rsidTr="006A2EF3">
        <w:tc>
          <w:tcPr>
            <w:tcW w:w="3931" w:type="dxa"/>
          </w:tcPr>
          <w:p w14:paraId="43D70C5C" w14:textId="77777777" w:rsidR="00D93D26" w:rsidRPr="00D66F1E" w:rsidRDefault="00D93D26" w:rsidP="006A2EF3">
            <w:pPr>
              <w:rPr>
                <w:b/>
                <w:bCs/>
              </w:rPr>
            </w:pPr>
            <w:r w:rsidRPr="00D66F1E">
              <w:rPr>
                <w:b/>
                <w:bCs/>
              </w:rPr>
              <w:t>Moderate</w:t>
            </w:r>
          </w:p>
        </w:tc>
        <w:tc>
          <w:tcPr>
            <w:tcW w:w="4709" w:type="dxa"/>
          </w:tcPr>
          <w:p w14:paraId="2C01F991" w14:textId="77777777" w:rsidR="00D93D26" w:rsidRDefault="00D93D26" w:rsidP="006A2EF3">
            <w:r>
              <w:t>Operations to validate remediation is complete.  VM team will monitor via regularly scheduled scanning and report additional findings as needed.</w:t>
            </w:r>
          </w:p>
          <w:p w14:paraId="62D008D7" w14:textId="77777777" w:rsidR="00D93D26" w:rsidRDefault="00D93D26" w:rsidP="006A2EF3"/>
        </w:tc>
        <w:tc>
          <w:tcPr>
            <w:tcW w:w="2520" w:type="dxa"/>
          </w:tcPr>
          <w:p w14:paraId="61EFFFCA" w14:textId="77777777" w:rsidR="00D93D26" w:rsidRDefault="00D93D26" w:rsidP="006A2EF3">
            <w:r>
              <w:t>≤90 Days</w:t>
            </w:r>
          </w:p>
        </w:tc>
      </w:tr>
    </w:tbl>
    <w:p w14:paraId="35C9B95B" w14:textId="77777777" w:rsidR="00D93D26" w:rsidRPr="00D93D26" w:rsidRDefault="00D93D26" w:rsidP="00D93D26">
      <w:pPr>
        <w:rPr>
          <w:sz w:val="28"/>
          <w:szCs w:val="28"/>
        </w:rPr>
      </w:pPr>
    </w:p>
    <w:p w14:paraId="16D89D25" w14:textId="3878443A" w:rsidR="00D93D26" w:rsidRPr="00D93D26" w:rsidRDefault="0053538F" w:rsidP="0053538F">
      <w:pPr>
        <w:pStyle w:val="Heading2"/>
        <w:numPr>
          <w:ilvl w:val="1"/>
          <w:numId w:val="15"/>
        </w:numPr>
        <w:rPr>
          <w:sz w:val="28"/>
          <w:szCs w:val="28"/>
        </w:rPr>
      </w:pPr>
      <w:r>
        <w:rPr>
          <w:sz w:val="28"/>
          <w:szCs w:val="28"/>
        </w:rPr>
        <w:t xml:space="preserve"> </w:t>
      </w:r>
      <w:r w:rsidR="00D93D26" w:rsidRPr="00D93D26">
        <w:rPr>
          <w:sz w:val="28"/>
          <w:szCs w:val="28"/>
        </w:rPr>
        <w:t>Exceptions Management</w:t>
      </w:r>
    </w:p>
    <w:p w14:paraId="0F115A0E" w14:textId="77777777" w:rsidR="00D93D26" w:rsidRDefault="00D93D26" w:rsidP="00D93D26">
      <w:r>
        <w:t>Vulnerabilities may exist in operating systems, applications, web applications, or in the way</w:t>
      </w:r>
    </w:p>
    <w:p w14:paraId="27B874BF" w14:textId="77777777" w:rsidR="00D93D26" w:rsidRDefault="00D93D26" w:rsidP="00D93D26">
      <w:r>
        <w:t>different components interoperate. While every effort must be made to correct issues, some</w:t>
      </w:r>
    </w:p>
    <w:p w14:paraId="6A639CEC" w14:textId="77777777" w:rsidR="00D93D26" w:rsidRDefault="00D93D26" w:rsidP="00D93D26">
      <w:r>
        <w:t>vulnerabilities cannot be remediated.</w:t>
      </w:r>
    </w:p>
    <w:p w14:paraId="0A880C43" w14:textId="77777777" w:rsidR="00D93D26" w:rsidRDefault="00D93D26" w:rsidP="00D93D26"/>
    <w:p w14:paraId="204B29DA" w14:textId="77777777" w:rsidR="00D93D26" w:rsidRDefault="00D93D26" w:rsidP="00D93D26">
      <w:r>
        <w:t>In these cases, additional protections may be required to mitigate the vulnerability. Exceptions</w:t>
      </w:r>
    </w:p>
    <w:p w14:paraId="7E915CEB" w14:textId="77777777" w:rsidR="00D93D26" w:rsidRDefault="00D93D26" w:rsidP="00D93D26">
      <w:r>
        <w:t>may also be made so that the vulnerabilities are not identified as items of risk to the system</w:t>
      </w:r>
    </w:p>
    <w:p w14:paraId="29A6A393" w14:textId="77777777" w:rsidR="00D93D26" w:rsidRDefault="00D93D26" w:rsidP="00D93D26">
      <w:r>
        <w:t>and organization. These types of shortcomings don’t accurately reflect the risk of a system and</w:t>
      </w:r>
    </w:p>
    <w:p w14:paraId="78DE1025" w14:textId="77777777" w:rsidR="00D93D26" w:rsidRDefault="00D93D26" w:rsidP="00D93D26">
      <w:r>
        <w:t>require an exception process. This elaborates itself in the form of two primary exception types:</w:t>
      </w:r>
    </w:p>
    <w:p w14:paraId="7A1E6229" w14:textId="77777777" w:rsidR="00D93D26" w:rsidRDefault="00D93D26" w:rsidP="00D93D26"/>
    <w:tbl>
      <w:tblPr>
        <w:tblStyle w:val="TableGrid"/>
        <w:tblW w:w="11160" w:type="dxa"/>
        <w:tblInd w:w="-905" w:type="dxa"/>
        <w:tblLook w:val="04A0" w:firstRow="1" w:lastRow="0" w:firstColumn="1" w:lastColumn="0" w:noHBand="0" w:noVBand="1"/>
      </w:tblPr>
      <w:tblGrid>
        <w:gridCol w:w="2160"/>
        <w:gridCol w:w="4978"/>
        <w:gridCol w:w="4022"/>
      </w:tblGrid>
      <w:tr w:rsidR="00D93D26" w14:paraId="7EA79EAC" w14:textId="77777777" w:rsidTr="006A2EF3">
        <w:tc>
          <w:tcPr>
            <w:tcW w:w="2160" w:type="dxa"/>
          </w:tcPr>
          <w:p w14:paraId="7AA8AF82" w14:textId="77777777" w:rsidR="00D93D26" w:rsidRPr="000267E1" w:rsidRDefault="00D93D26" w:rsidP="006A2EF3">
            <w:pPr>
              <w:rPr>
                <w:b/>
              </w:rPr>
            </w:pPr>
            <w:r w:rsidRPr="000267E1">
              <w:rPr>
                <w:b/>
              </w:rPr>
              <w:t>Exception Category</w:t>
            </w:r>
          </w:p>
        </w:tc>
        <w:tc>
          <w:tcPr>
            <w:tcW w:w="4978" w:type="dxa"/>
          </w:tcPr>
          <w:p w14:paraId="34620EBB" w14:textId="77777777" w:rsidR="00D93D26" w:rsidRPr="000267E1" w:rsidRDefault="00D93D26" w:rsidP="006A2EF3">
            <w:pPr>
              <w:rPr>
                <w:b/>
              </w:rPr>
            </w:pPr>
            <w:r w:rsidRPr="000267E1">
              <w:rPr>
                <w:b/>
              </w:rPr>
              <w:t>Description</w:t>
            </w:r>
          </w:p>
        </w:tc>
        <w:tc>
          <w:tcPr>
            <w:tcW w:w="4022" w:type="dxa"/>
          </w:tcPr>
          <w:p w14:paraId="30DBE331" w14:textId="77777777" w:rsidR="00D93D26" w:rsidRPr="000267E1" w:rsidRDefault="00D93D26" w:rsidP="006A2EF3">
            <w:pPr>
              <w:rPr>
                <w:b/>
              </w:rPr>
            </w:pPr>
            <w:r w:rsidRPr="000267E1">
              <w:rPr>
                <w:b/>
              </w:rPr>
              <w:t>Response</w:t>
            </w:r>
          </w:p>
        </w:tc>
      </w:tr>
      <w:tr w:rsidR="00D93D26" w14:paraId="2401D384" w14:textId="77777777" w:rsidTr="006A2EF3">
        <w:tc>
          <w:tcPr>
            <w:tcW w:w="2160" w:type="dxa"/>
          </w:tcPr>
          <w:p w14:paraId="7F7F1E72" w14:textId="77777777" w:rsidR="00D93D26" w:rsidRPr="000267E1" w:rsidRDefault="00D93D26" w:rsidP="006A2EF3">
            <w:pPr>
              <w:rPr>
                <w:b/>
              </w:rPr>
            </w:pPr>
            <w:r w:rsidRPr="000267E1">
              <w:rPr>
                <w:b/>
              </w:rPr>
              <w:t>Accepted Risk</w:t>
            </w:r>
          </w:p>
        </w:tc>
        <w:tc>
          <w:tcPr>
            <w:tcW w:w="4978" w:type="dxa"/>
          </w:tcPr>
          <w:p w14:paraId="4AC00641" w14:textId="77777777" w:rsidR="00D93D26" w:rsidRDefault="00D93D26" w:rsidP="006A2EF3">
            <w:r>
              <w:t>Legitimate vulnerabilities left unpatched because compensating controls are in place to mitigate the risk, a hosted service has been deemed too critical for intervention, an asset has been scheduled for decommissioning, etc.</w:t>
            </w:r>
          </w:p>
        </w:tc>
        <w:tc>
          <w:tcPr>
            <w:tcW w:w="4022" w:type="dxa"/>
          </w:tcPr>
          <w:p w14:paraId="43BCDBC8" w14:textId="77777777" w:rsidR="00D93D26" w:rsidRDefault="00D93D26" w:rsidP="006A2EF3">
            <w:r>
              <w:t>Risk acceptance exceptions must be requested through the</w:t>
            </w:r>
          </w:p>
          <w:p w14:paraId="3F485E46" w14:textId="77777777" w:rsidR="00D93D26" w:rsidRDefault="00D93D26" w:rsidP="006A2EF3">
            <w:r>
              <w:t>Security Assurance team with an explanation containing:</w:t>
            </w:r>
          </w:p>
          <w:p w14:paraId="56557C5E" w14:textId="77777777" w:rsidR="00D93D26" w:rsidRDefault="00D93D26" w:rsidP="00D93D26">
            <w:pPr>
              <w:pStyle w:val="ListParagraph"/>
              <w:numPr>
                <w:ilvl w:val="0"/>
                <w:numId w:val="14"/>
              </w:numPr>
            </w:pPr>
            <w:r>
              <w:t xml:space="preserve">Mitigating controls - what changes, tools, or procedures have been implemented to minimize the risk. </w:t>
            </w:r>
          </w:p>
          <w:p w14:paraId="2891134B" w14:textId="77777777" w:rsidR="00D93D26" w:rsidRDefault="00D93D26" w:rsidP="00D93D26">
            <w:pPr>
              <w:pStyle w:val="ListParagraph"/>
              <w:numPr>
                <w:ilvl w:val="0"/>
                <w:numId w:val="14"/>
              </w:numPr>
            </w:pPr>
            <w:r>
              <w:t>Risk acceptance explanation - details as to why this risk is not relevant to the company and affected systems/applications.</w:t>
            </w:r>
          </w:p>
          <w:p w14:paraId="609DE25C" w14:textId="77777777" w:rsidR="00D93D26" w:rsidRDefault="00D93D26" w:rsidP="00D93D26">
            <w:pPr>
              <w:pStyle w:val="ListParagraph"/>
              <w:numPr>
                <w:ilvl w:val="0"/>
                <w:numId w:val="14"/>
              </w:numPr>
            </w:pPr>
            <w:r>
              <w:t>Risk analysis - if the vulnerability is indeed compromised, what data and/or systems/applications will be affected.</w:t>
            </w:r>
          </w:p>
        </w:tc>
      </w:tr>
      <w:tr w:rsidR="00D93D26" w14:paraId="233F8225" w14:textId="77777777" w:rsidTr="006A2EF3">
        <w:tc>
          <w:tcPr>
            <w:tcW w:w="2160" w:type="dxa"/>
          </w:tcPr>
          <w:p w14:paraId="751C3E99" w14:textId="77777777" w:rsidR="00D93D26" w:rsidRPr="000267E1" w:rsidRDefault="00D93D26" w:rsidP="006A2EF3">
            <w:pPr>
              <w:rPr>
                <w:b/>
              </w:rPr>
            </w:pPr>
            <w:r w:rsidRPr="000267E1">
              <w:rPr>
                <w:b/>
              </w:rPr>
              <w:t>Delayed Action</w:t>
            </w:r>
          </w:p>
        </w:tc>
        <w:tc>
          <w:tcPr>
            <w:tcW w:w="4978" w:type="dxa"/>
          </w:tcPr>
          <w:p w14:paraId="579A7701" w14:textId="77777777" w:rsidR="00D93D26" w:rsidRDefault="00D93D26" w:rsidP="006A2EF3">
            <w:r>
              <w:t>Legitimate vulnerabilities that cannot be mitigated in the time frame specified by the SLA due to business impact (downtime to apply remediation) or because testing is required to ensure operations are not affected by the recommended remediation.</w:t>
            </w:r>
          </w:p>
        </w:tc>
        <w:tc>
          <w:tcPr>
            <w:tcW w:w="4022" w:type="dxa"/>
          </w:tcPr>
          <w:p w14:paraId="5BD45247" w14:textId="77777777" w:rsidR="00D93D26" w:rsidRDefault="00D93D26" w:rsidP="006A2EF3">
            <w:r>
              <w:t>Delayed Action exceptions require a plan to test the</w:t>
            </w:r>
          </w:p>
          <w:p w14:paraId="7B6563BA" w14:textId="77777777" w:rsidR="00D93D26" w:rsidRDefault="00D93D26" w:rsidP="006A2EF3">
            <w:r>
              <w:t>recommended remediation and a date that corrections can be</w:t>
            </w:r>
          </w:p>
          <w:p w14:paraId="7BAFD306" w14:textId="77777777" w:rsidR="00D93D26" w:rsidRDefault="00D93D26" w:rsidP="006A2EF3">
            <w:r>
              <w:t>implemented without negatively impacting business operations.</w:t>
            </w:r>
          </w:p>
        </w:tc>
      </w:tr>
    </w:tbl>
    <w:p w14:paraId="35BB4073" w14:textId="77777777" w:rsidR="00D93D26" w:rsidRDefault="00D93D26" w:rsidP="00D93D26"/>
    <w:p w14:paraId="36FABD17" w14:textId="15CEB325" w:rsidR="00D93D26" w:rsidRDefault="00D93D26" w:rsidP="00D93D26">
      <w:r>
        <w:t>All exception requests must be submitted via ServiceNow for review and adjudication. All</w:t>
      </w:r>
    </w:p>
    <w:p w14:paraId="4C34F9FD" w14:textId="77777777" w:rsidR="00D93D26" w:rsidRDefault="00D93D26" w:rsidP="00D93D26">
      <w:r>
        <w:t>exception requests must present a technical or operational justification and an expiration date.</w:t>
      </w:r>
    </w:p>
    <w:p w14:paraId="27674890" w14:textId="77777777" w:rsidR="00D93D26" w:rsidRDefault="00D93D26" w:rsidP="00D93D26">
      <w:r>
        <w:t>No exception can be permanent, and each must be reviewed and extended using an expiration</w:t>
      </w:r>
    </w:p>
    <w:p w14:paraId="40577422" w14:textId="77777777" w:rsidR="00D93D26" w:rsidRDefault="00D93D26" w:rsidP="00D93D26">
      <w:r>
        <w:t>date to ensure no exceptions are permanently ignored. The request should clearly state the</w:t>
      </w:r>
    </w:p>
    <w:p w14:paraId="34458FAB" w14:textId="27833A40" w:rsidR="00D93D26" w:rsidRDefault="00D93D26" w:rsidP="00D93D26">
      <w:pPr>
        <w:ind w:left="360"/>
      </w:pPr>
      <w:r>
        <w:t>exception type and be recorded in both ServiceNow and Tenable.io</w:t>
      </w:r>
    </w:p>
    <w:p w14:paraId="705E7AC5" w14:textId="0A715BEC" w:rsidR="001C5FCF" w:rsidRDefault="001C5FCF" w:rsidP="00D93D26">
      <w:pPr>
        <w:ind w:left="360"/>
      </w:pPr>
    </w:p>
    <w:p w14:paraId="7DE5A0C2" w14:textId="77777777" w:rsidR="001C5FCF" w:rsidRDefault="001C5FCF" w:rsidP="001C5FCF">
      <w:pPr>
        <w:pStyle w:val="Heading11"/>
        <w:numPr>
          <w:ilvl w:val="0"/>
          <w:numId w:val="18"/>
        </w:numPr>
        <w:tabs>
          <w:tab w:val="num" w:pos="360"/>
        </w:tabs>
        <w:ind w:left="0" w:firstLine="0"/>
      </w:pPr>
      <w:r>
        <w:t>Revision History</w:t>
      </w:r>
    </w:p>
    <w:tbl>
      <w:tblPr>
        <w:tblW w:w="936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top w:w="29" w:type="dxa"/>
          <w:left w:w="72" w:type="dxa"/>
          <w:bottom w:w="29" w:type="dxa"/>
          <w:right w:w="72" w:type="dxa"/>
        </w:tblCellMar>
        <w:tblLook w:val="04A0" w:firstRow="1" w:lastRow="0" w:firstColumn="1" w:lastColumn="0" w:noHBand="0" w:noVBand="1"/>
      </w:tblPr>
      <w:tblGrid>
        <w:gridCol w:w="1252"/>
        <w:gridCol w:w="900"/>
        <w:gridCol w:w="2438"/>
        <w:gridCol w:w="4770"/>
      </w:tblGrid>
      <w:tr w:rsidR="001C5FCF" w14:paraId="36CEE4C5" w14:textId="77777777" w:rsidTr="00B1392C">
        <w:trPr>
          <w:cantSplit/>
          <w:jc w:val="center"/>
        </w:trPr>
        <w:tc>
          <w:tcPr>
            <w:tcW w:w="125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D552BC8" w14:textId="77777777" w:rsidR="001C5FCF" w:rsidRDefault="001C5FCF" w:rsidP="007279BB">
            <w:r>
              <w:t>Date</w:t>
            </w:r>
          </w:p>
        </w:tc>
        <w:tc>
          <w:tcPr>
            <w:tcW w:w="9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77D9ADA" w14:textId="77777777" w:rsidR="001C5FCF" w:rsidRDefault="001C5FCF" w:rsidP="007279BB">
            <w:r>
              <w:t>Version</w:t>
            </w:r>
            <w:r>
              <w:br/>
              <w:t>Revised</w:t>
            </w:r>
          </w:p>
        </w:tc>
        <w:tc>
          <w:tcPr>
            <w:tcW w:w="243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28AA9F7F" w14:textId="77777777" w:rsidR="001C5FCF" w:rsidRDefault="001C5FCF" w:rsidP="007279BB">
            <w:r>
              <w:t>Revised by</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4B5A02E" w14:textId="77777777" w:rsidR="001C5FCF" w:rsidRDefault="001C5FCF" w:rsidP="007279BB">
            <w:r>
              <w:t>Reason for Revision</w:t>
            </w:r>
          </w:p>
        </w:tc>
      </w:tr>
      <w:tr w:rsidR="001C5FCF" w14:paraId="104D3AC7" w14:textId="77777777" w:rsidTr="00B1392C">
        <w:trPr>
          <w:cantSplit/>
          <w:jc w:val="center"/>
        </w:trPr>
        <w:tc>
          <w:tcPr>
            <w:tcW w:w="125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A2B2E29" w14:textId="502D3130" w:rsidR="001C5FCF" w:rsidRDefault="001C5FCF" w:rsidP="007279BB">
            <w:r>
              <w:t>1</w:t>
            </w:r>
            <w:r>
              <w:t>/</w:t>
            </w:r>
            <w:r>
              <w:t>17</w:t>
            </w:r>
            <w:r>
              <w:t>/20</w:t>
            </w:r>
            <w:r>
              <w:t>23</w:t>
            </w:r>
          </w:p>
        </w:tc>
        <w:tc>
          <w:tcPr>
            <w:tcW w:w="90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596B782" w14:textId="2D679731" w:rsidR="001C5FCF" w:rsidRDefault="001C5FCF" w:rsidP="007279BB">
            <w:r>
              <w:t>2.1</w:t>
            </w:r>
          </w:p>
        </w:tc>
        <w:tc>
          <w:tcPr>
            <w:tcW w:w="243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20ABD30" w14:textId="27ECD480" w:rsidR="001C5FCF" w:rsidRDefault="001C5FCF" w:rsidP="007279BB">
            <w:r>
              <w:t>Nicholas Luebbers</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1088E71" w14:textId="6D5E7819" w:rsidR="001C5FCF" w:rsidRDefault="001C5FCF" w:rsidP="007279BB">
            <w:r>
              <w:t xml:space="preserve">Clarify EOL exception </w:t>
            </w:r>
            <w:proofErr w:type="spellStart"/>
            <w:r>
              <w:t>equirements</w:t>
            </w:r>
            <w:proofErr w:type="spellEnd"/>
          </w:p>
        </w:tc>
      </w:tr>
      <w:tr w:rsidR="00B1392C" w14:paraId="4DBCF74B" w14:textId="77777777" w:rsidTr="00B1392C">
        <w:trPr>
          <w:cantSplit/>
          <w:jc w:val="center"/>
        </w:trPr>
        <w:tc>
          <w:tcPr>
            <w:tcW w:w="125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D28A60" w14:textId="2943A2F2" w:rsidR="00B1392C" w:rsidRDefault="00B1392C" w:rsidP="007279BB">
            <w:r>
              <w:t>5/1/2022</w:t>
            </w:r>
          </w:p>
        </w:tc>
        <w:tc>
          <w:tcPr>
            <w:tcW w:w="9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135C8A" w14:textId="78BE2952" w:rsidR="00B1392C" w:rsidRDefault="00B1392C" w:rsidP="007279BB">
            <w:r>
              <w:t>2.0</w:t>
            </w:r>
          </w:p>
        </w:tc>
        <w:tc>
          <w:tcPr>
            <w:tcW w:w="243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D207E8" w14:textId="097C3C11" w:rsidR="00B1392C" w:rsidRDefault="00B1392C" w:rsidP="007279BB">
            <w:r>
              <w:t>Shreyas Ramesh</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8606BA" w14:textId="4BEFD385" w:rsidR="00B1392C" w:rsidRDefault="00B1392C" w:rsidP="007279BB">
            <w:r>
              <w:t>Incorporate Patch management into current vulnerability management contents</w:t>
            </w:r>
          </w:p>
        </w:tc>
      </w:tr>
      <w:tr w:rsidR="001C5FCF" w14:paraId="4760AF12" w14:textId="77777777" w:rsidTr="00B1392C">
        <w:trPr>
          <w:cantSplit/>
          <w:jc w:val="center"/>
        </w:trPr>
        <w:tc>
          <w:tcPr>
            <w:tcW w:w="125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DD4A0D5" w14:textId="0DE6781F" w:rsidR="001C5FCF" w:rsidRDefault="00B1392C" w:rsidP="007279BB">
            <w:r>
              <w:t>3/9/2021</w:t>
            </w:r>
          </w:p>
        </w:tc>
        <w:tc>
          <w:tcPr>
            <w:tcW w:w="90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12B0297" w14:textId="5D9AF5D5" w:rsidR="001C5FCF" w:rsidRDefault="00B1392C" w:rsidP="007279BB">
            <w:r>
              <w:t>1.1</w:t>
            </w:r>
          </w:p>
        </w:tc>
        <w:tc>
          <w:tcPr>
            <w:tcW w:w="243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A0F3465" w14:textId="1CD5CB8A" w:rsidR="001C5FCF" w:rsidRDefault="00B1392C" w:rsidP="007279BB">
            <w:r>
              <w:t>Nicholas Luebbers</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459E2DA" w14:textId="50EE3AD5" w:rsidR="001C5FCF" w:rsidRDefault="00B1392C" w:rsidP="007279BB">
            <w:r>
              <w:t>Periodic review</w:t>
            </w:r>
          </w:p>
        </w:tc>
      </w:tr>
      <w:tr w:rsidR="00B1392C" w14:paraId="13F4A4B0" w14:textId="77777777" w:rsidTr="00B1392C">
        <w:trPr>
          <w:cantSplit/>
          <w:jc w:val="center"/>
        </w:trPr>
        <w:tc>
          <w:tcPr>
            <w:tcW w:w="125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A052B7" w14:textId="1A430887" w:rsidR="00B1392C" w:rsidRDefault="00B1392C" w:rsidP="007279BB">
            <w:r>
              <w:lastRenderedPageBreak/>
              <w:t>11/10/2017</w:t>
            </w:r>
          </w:p>
        </w:tc>
        <w:tc>
          <w:tcPr>
            <w:tcW w:w="9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91F591" w14:textId="55B448D7" w:rsidR="00B1392C" w:rsidRDefault="00B1392C" w:rsidP="007279BB">
            <w:r>
              <w:t>1.0</w:t>
            </w:r>
          </w:p>
        </w:tc>
        <w:tc>
          <w:tcPr>
            <w:tcW w:w="243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86B9A2" w14:textId="35373E3C" w:rsidR="00B1392C" w:rsidRDefault="00B1392C" w:rsidP="007279BB">
            <w:r>
              <w:t>Matt McClung</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8C3C5D" w14:textId="16EB2AA6" w:rsidR="00B1392C" w:rsidRDefault="00B1392C" w:rsidP="007279BB">
            <w:r>
              <w:t>Initial Version</w:t>
            </w:r>
          </w:p>
        </w:tc>
      </w:tr>
    </w:tbl>
    <w:p w14:paraId="39E0271B" w14:textId="77777777" w:rsidR="001C5FCF" w:rsidRDefault="001C5FCF" w:rsidP="00D93D26">
      <w:pPr>
        <w:ind w:left="360"/>
        <w:rPr>
          <w:b/>
          <w:sz w:val="28"/>
          <w:szCs w:val="28"/>
        </w:rPr>
      </w:pPr>
    </w:p>
    <w:p w14:paraId="661E2C88" w14:textId="1E1445D7" w:rsidR="003468C3" w:rsidRDefault="003468C3" w:rsidP="003468C3"/>
    <w:p w14:paraId="2D6A99CF" w14:textId="77777777" w:rsidR="003468C3" w:rsidRPr="003468C3" w:rsidRDefault="003468C3" w:rsidP="003468C3"/>
    <w:p w14:paraId="5CBF3DB4" w14:textId="2FAF067F" w:rsidR="003468C3" w:rsidRDefault="003468C3" w:rsidP="003468C3"/>
    <w:p w14:paraId="68990363" w14:textId="77777777" w:rsidR="003468C3" w:rsidRPr="003468C3" w:rsidRDefault="003468C3" w:rsidP="003468C3"/>
    <w:sectPr w:rsidR="003468C3" w:rsidRPr="00346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intelligence.xml><?xml version="1.0" encoding="utf-8"?>
<int:Intelligence xmlns:int="http://schemas.microsoft.com/office/intelligence/2019/intelligence">
  <int:IntelligenceSettings/>
  <int:Manifest>
    <int:WordHash hashCode="CVJ5o2d30YqFqk" id="oyycbn59"/>
    <int:WordHash hashCode="ZFBMx/KMvW9S53" id="jxpbN4R8"/>
    <int:WordHash hashCode="kajDhAlKYMTjji" id="Z7+8flkV"/>
    <int:WordHash hashCode="fUJ4qHWQD/1/Yh" id="spEAtyhi"/>
    <int:WordHash hashCode="XBM1EEl4ctuLtT" id="rMF0WdJM"/>
    <int:WordHash hashCode="FhxCN58vOqq4SL" id="XvTo03I9"/>
    <int:WordHash hashCode="bWE6HuAe7EwPjK" id="RhXfaxL2"/>
  </int:Manifest>
  <int:Observations>
    <int:Content id="oyycbn59">
      <int:Rejection type="LegacyProofing"/>
    </int:Content>
    <int:Content id="jxpbN4R8">
      <int:Rejection type="AugLoop_Text_Critique"/>
    </int:Content>
    <int:Content id="Z7+8flkV">
      <int:Rejection type="AugLoop_Text_Critique"/>
    </int:Content>
    <int:Content id="spEAtyhi">
      <int:Rejection type="AugLoop_Text_Critique"/>
    </int:Content>
    <int:Content id="rMF0WdJM">
      <int:Rejection type="AugLoop_Text_Critique"/>
    </int:Content>
    <int:Content id="XvTo03I9">
      <int:Rejection type="AugLoop_Text_Critique"/>
    </int:Content>
    <int:Content id="RhXfaxL2">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CD7"/>
    <w:multiLevelType w:val="hybridMultilevel"/>
    <w:tmpl w:val="63F04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721117"/>
    <w:multiLevelType w:val="hybridMultilevel"/>
    <w:tmpl w:val="E11A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720F3"/>
    <w:multiLevelType w:val="hybridMultilevel"/>
    <w:tmpl w:val="6C52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43115D"/>
    <w:multiLevelType w:val="hybridMultilevel"/>
    <w:tmpl w:val="1D1AB99A"/>
    <w:lvl w:ilvl="0" w:tplc="B8BA27D0">
      <w:start w:val="1"/>
      <w:numFmt w:val="bullet"/>
      <w:pStyle w:val="Bullet2"/>
      <w:lvlText w:val=""/>
      <w:lvlJc w:val="left"/>
      <w:pPr>
        <w:tabs>
          <w:tab w:val="num" w:pos="717"/>
        </w:tabs>
        <w:ind w:left="717" w:hanging="360"/>
      </w:pPr>
      <w:rPr>
        <w:rFonts w:ascii="Symbol" w:hAnsi="Symbol" w:hint="default"/>
      </w:rPr>
    </w:lvl>
    <w:lvl w:ilvl="1" w:tplc="04090003" w:tentative="1">
      <w:start w:val="1"/>
      <w:numFmt w:val="bullet"/>
      <w:lvlText w:val="o"/>
      <w:lvlJc w:val="left"/>
      <w:pPr>
        <w:tabs>
          <w:tab w:val="num" w:pos="1437"/>
        </w:tabs>
        <w:ind w:left="1437" w:hanging="360"/>
      </w:pPr>
      <w:rPr>
        <w:rFonts w:ascii="Courier New" w:hAnsi="Courier New" w:cs="Courier New" w:hint="default"/>
      </w:rPr>
    </w:lvl>
    <w:lvl w:ilvl="2" w:tplc="04090005" w:tentative="1">
      <w:start w:val="1"/>
      <w:numFmt w:val="bullet"/>
      <w:lvlText w:val=""/>
      <w:lvlJc w:val="left"/>
      <w:pPr>
        <w:tabs>
          <w:tab w:val="num" w:pos="2157"/>
        </w:tabs>
        <w:ind w:left="2157" w:hanging="360"/>
      </w:pPr>
      <w:rPr>
        <w:rFonts w:ascii="Wingdings" w:hAnsi="Wingdings" w:hint="default"/>
      </w:rPr>
    </w:lvl>
    <w:lvl w:ilvl="3" w:tplc="04090001" w:tentative="1">
      <w:start w:val="1"/>
      <w:numFmt w:val="bullet"/>
      <w:lvlText w:val=""/>
      <w:lvlJc w:val="left"/>
      <w:pPr>
        <w:tabs>
          <w:tab w:val="num" w:pos="2877"/>
        </w:tabs>
        <w:ind w:left="2877" w:hanging="360"/>
      </w:pPr>
      <w:rPr>
        <w:rFonts w:ascii="Symbol" w:hAnsi="Symbol" w:hint="default"/>
      </w:rPr>
    </w:lvl>
    <w:lvl w:ilvl="4" w:tplc="04090003" w:tentative="1">
      <w:start w:val="1"/>
      <w:numFmt w:val="bullet"/>
      <w:lvlText w:val="o"/>
      <w:lvlJc w:val="left"/>
      <w:pPr>
        <w:tabs>
          <w:tab w:val="num" w:pos="3597"/>
        </w:tabs>
        <w:ind w:left="3597" w:hanging="360"/>
      </w:pPr>
      <w:rPr>
        <w:rFonts w:ascii="Courier New" w:hAnsi="Courier New" w:cs="Courier New" w:hint="default"/>
      </w:rPr>
    </w:lvl>
    <w:lvl w:ilvl="5" w:tplc="04090005" w:tentative="1">
      <w:start w:val="1"/>
      <w:numFmt w:val="bullet"/>
      <w:lvlText w:val=""/>
      <w:lvlJc w:val="left"/>
      <w:pPr>
        <w:tabs>
          <w:tab w:val="num" w:pos="4317"/>
        </w:tabs>
        <w:ind w:left="4317" w:hanging="360"/>
      </w:pPr>
      <w:rPr>
        <w:rFonts w:ascii="Wingdings" w:hAnsi="Wingdings" w:hint="default"/>
      </w:rPr>
    </w:lvl>
    <w:lvl w:ilvl="6" w:tplc="04090001" w:tentative="1">
      <w:start w:val="1"/>
      <w:numFmt w:val="bullet"/>
      <w:lvlText w:val=""/>
      <w:lvlJc w:val="left"/>
      <w:pPr>
        <w:tabs>
          <w:tab w:val="num" w:pos="5037"/>
        </w:tabs>
        <w:ind w:left="5037" w:hanging="360"/>
      </w:pPr>
      <w:rPr>
        <w:rFonts w:ascii="Symbol" w:hAnsi="Symbol" w:hint="default"/>
      </w:rPr>
    </w:lvl>
    <w:lvl w:ilvl="7" w:tplc="04090003" w:tentative="1">
      <w:start w:val="1"/>
      <w:numFmt w:val="bullet"/>
      <w:lvlText w:val="o"/>
      <w:lvlJc w:val="left"/>
      <w:pPr>
        <w:tabs>
          <w:tab w:val="num" w:pos="5757"/>
        </w:tabs>
        <w:ind w:left="5757" w:hanging="360"/>
      </w:pPr>
      <w:rPr>
        <w:rFonts w:ascii="Courier New" w:hAnsi="Courier New" w:cs="Courier New" w:hint="default"/>
      </w:rPr>
    </w:lvl>
    <w:lvl w:ilvl="8" w:tplc="04090005" w:tentative="1">
      <w:start w:val="1"/>
      <w:numFmt w:val="bullet"/>
      <w:lvlText w:val=""/>
      <w:lvlJc w:val="left"/>
      <w:pPr>
        <w:tabs>
          <w:tab w:val="num" w:pos="6477"/>
        </w:tabs>
        <w:ind w:left="6477" w:hanging="360"/>
      </w:pPr>
      <w:rPr>
        <w:rFonts w:ascii="Wingdings" w:hAnsi="Wingdings" w:hint="default"/>
      </w:rPr>
    </w:lvl>
  </w:abstractNum>
  <w:abstractNum w:abstractNumId="4" w15:restartNumberingAfterBreak="0">
    <w:nsid w:val="11121767"/>
    <w:multiLevelType w:val="hybridMultilevel"/>
    <w:tmpl w:val="0A581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32206D"/>
    <w:multiLevelType w:val="multilevel"/>
    <w:tmpl w:val="3DD0A9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EB52D2F"/>
    <w:multiLevelType w:val="hybridMultilevel"/>
    <w:tmpl w:val="F5742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F761C0"/>
    <w:multiLevelType w:val="hybridMultilevel"/>
    <w:tmpl w:val="9DC89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8A6A8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D9854A3"/>
    <w:multiLevelType w:val="hybridMultilevel"/>
    <w:tmpl w:val="628AE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7162B9"/>
    <w:multiLevelType w:val="multilevel"/>
    <w:tmpl w:val="81CCD41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0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BC2996"/>
    <w:multiLevelType w:val="hybridMultilevel"/>
    <w:tmpl w:val="BD783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5B03C5"/>
    <w:multiLevelType w:val="hybridMultilevel"/>
    <w:tmpl w:val="47AE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5A07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75618C0"/>
    <w:multiLevelType w:val="multilevel"/>
    <w:tmpl w:val="46A0C14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A0F1372"/>
    <w:multiLevelType w:val="hybridMultilevel"/>
    <w:tmpl w:val="7CD46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4642969">
    <w:abstractNumId w:val="14"/>
  </w:num>
  <w:num w:numId="2" w16cid:durableId="1250693840">
    <w:abstractNumId w:val="14"/>
  </w:num>
  <w:num w:numId="3" w16cid:durableId="141965604">
    <w:abstractNumId w:val="10"/>
  </w:num>
  <w:num w:numId="4" w16cid:durableId="1657031886">
    <w:abstractNumId w:val="8"/>
  </w:num>
  <w:num w:numId="5" w16cid:durableId="1553272616">
    <w:abstractNumId w:val="13"/>
  </w:num>
  <w:num w:numId="6" w16cid:durableId="1252738898">
    <w:abstractNumId w:val="3"/>
  </w:num>
  <w:num w:numId="7" w16cid:durableId="892540048">
    <w:abstractNumId w:val="1"/>
  </w:num>
  <w:num w:numId="8" w16cid:durableId="1955862484">
    <w:abstractNumId w:val="6"/>
  </w:num>
  <w:num w:numId="9" w16cid:durableId="1656060017">
    <w:abstractNumId w:val="15"/>
  </w:num>
  <w:num w:numId="10" w16cid:durableId="542407895">
    <w:abstractNumId w:val="11"/>
  </w:num>
  <w:num w:numId="11" w16cid:durableId="1410733904">
    <w:abstractNumId w:val="12"/>
  </w:num>
  <w:num w:numId="12" w16cid:durableId="303195803">
    <w:abstractNumId w:val="2"/>
  </w:num>
  <w:num w:numId="13" w16cid:durableId="224147752">
    <w:abstractNumId w:val="4"/>
  </w:num>
  <w:num w:numId="14" w16cid:durableId="234751651">
    <w:abstractNumId w:val="0"/>
  </w:num>
  <w:num w:numId="15" w16cid:durableId="208080053">
    <w:abstractNumId w:val="5"/>
  </w:num>
  <w:num w:numId="16" w16cid:durableId="540941124">
    <w:abstractNumId w:val="9"/>
  </w:num>
  <w:num w:numId="17" w16cid:durableId="58214947">
    <w:abstractNumId w:val="7"/>
  </w:num>
  <w:num w:numId="18" w16cid:durableId="17249397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C9"/>
    <w:rsid w:val="00010684"/>
    <w:rsid w:val="000204CE"/>
    <w:rsid w:val="00065136"/>
    <w:rsid w:val="00077CFB"/>
    <w:rsid w:val="00096766"/>
    <w:rsid w:val="000A540A"/>
    <w:rsid w:val="000C20EE"/>
    <w:rsid w:val="000C3353"/>
    <w:rsid w:val="00150023"/>
    <w:rsid w:val="001536F0"/>
    <w:rsid w:val="00185D72"/>
    <w:rsid w:val="001A655B"/>
    <w:rsid w:val="001C5FCF"/>
    <w:rsid w:val="001D3147"/>
    <w:rsid w:val="001E5C66"/>
    <w:rsid w:val="002126AE"/>
    <w:rsid w:val="00231574"/>
    <w:rsid w:val="0023501E"/>
    <w:rsid w:val="0025360C"/>
    <w:rsid w:val="002A5269"/>
    <w:rsid w:val="002B06B7"/>
    <w:rsid w:val="002B15A9"/>
    <w:rsid w:val="002C1931"/>
    <w:rsid w:val="003408A1"/>
    <w:rsid w:val="00342D97"/>
    <w:rsid w:val="00345A74"/>
    <w:rsid w:val="003468C3"/>
    <w:rsid w:val="0037162B"/>
    <w:rsid w:val="00391790"/>
    <w:rsid w:val="00400A32"/>
    <w:rsid w:val="0040627E"/>
    <w:rsid w:val="00445AC4"/>
    <w:rsid w:val="00486E47"/>
    <w:rsid w:val="004A7494"/>
    <w:rsid w:val="004F4945"/>
    <w:rsid w:val="004F4B49"/>
    <w:rsid w:val="00502E4D"/>
    <w:rsid w:val="0053538F"/>
    <w:rsid w:val="00540605"/>
    <w:rsid w:val="00544887"/>
    <w:rsid w:val="00575636"/>
    <w:rsid w:val="00587E62"/>
    <w:rsid w:val="00594913"/>
    <w:rsid w:val="005D29C6"/>
    <w:rsid w:val="005D3FB5"/>
    <w:rsid w:val="005E1C3D"/>
    <w:rsid w:val="005E2442"/>
    <w:rsid w:val="005E5562"/>
    <w:rsid w:val="00617321"/>
    <w:rsid w:val="00631AE6"/>
    <w:rsid w:val="0064067D"/>
    <w:rsid w:val="00655D16"/>
    <w:rsid w:val="00673ED8"/>
    <w:rsid w:val="006A2286"/>
    <w:rsid w:val="006A2EF3"/>
    <w:rsid w:val="006B31C0"/>
    <w:rsid w:val="006C0EA3"/>
    <w:rsid w:val="006C4436"/>
    <w:rsid w:val="006D49B6"/>
    <w:rsid w:val="006D63BB"/>
    <w:rsid w:val="007225D5"/>
    <w:rsid w:val="007370B9"/>
    <w:rsid w:val="00743472"/>
    <w:rsid w:val="007C09A0"/>
    <w:rsid w:val="007C1D38"/>
    <w:rsid w:val="00817E0A"/>
    <w:rsid w:val="008B1C72"/>
    <w:rsid w:val="008E4C18"/>
    <w:rsid w:val="0092450A"/>
    <w:rsid w:val="00937BDB"/>
    <w:rsid w:val="009400AC"/>
    <w:rsid w:val="0094029B"/>
    <w:rsid w:val="00972FC5"/>
    <w:rsid w:val="009D5519"/>
    <w:rsid w:val="00A23C1D"/>
    <w:rsid w:val="00A91342"/>
    <w:rsid w:val="00A97D3D"/>
    <w:rsid w:val="00AE1CEB"/>
    <w:rsid w:val="00AF1674"/>
    <w:rsid w:val="00B07D11"/>
    <w:rsid w:val="00B1392C"/>
    <w:rsid w:val="00B2352F"/>
    <w:rsid w:val="00B2434E"/>
    <w:rsid w:val="00B35AF9"/>
    <w:rsid w:val="00B7225E"/>
    <w:rsid w:val="00B77107"/>
    <w:rsid w:val="00B81450"/>
    <w:rsid w:val="00B82ABF"/>
    <w:rsid w:val="00B86204"/>
    <w:rsid w:val="00BC4BC0"/>
    <w:rsid w:val="00C071BE"/>
    <w:rsid w:val="00C1681E"/>
    <w:rsid w:val="00C40CBA"/>
    <w:rsid w:val="00C61CDB"/>
    <w:rsid w:val="00C66326"/>
    <w:rsid w:val="00C7256A"/>
    <w:rsid w:val="00CA07C9"/>
    <w:rsid w:val="00D26AAE"/>
    <w:rsid w:val="00D70BDD"/>
    <w:rsid w:val="00D8098F"/>
    <w:rsid w:val="00D93D26"/>
    <w:rsid w:val="00DD3544"/>
    <w:rsid w:val="00DE7BED"/>
    <w:rsid w:val="00E45C5D"/>
    <w:rsid w:val="00E70095"/>
    <w:rsid w:val="00EA63F5"/>
    <w:rsid w:val="00EF02CA"/>
    <w:rsid w:val="00F01B27"/>
    <w:rsid w:val="00F04423"/>
    <w:rsid w:val="00F10F18"/>
    <w:rsid w:val="00F24974"/>
    <w:rsid w:val="00F2775A"/>
    <w:rsid w:val="00F43C61"/>
    <w:rsid w:val="00F45690"/>
    <w:rsid w:val="00F831B6"/>
    <w:rsid w:val="00F938FB"/>
    <w:rsid w:val="00FE6828"/>
    <w:rsid w:val="00FF3E6B"/>
    <w:rsid w:val="00FF419E"/>
    <w:rsid w:val="01173EE7"/>
    <w:rsid w:val="0303C343"/>
    <w:rsid w:val="03EF99F1"/>
    <w:rsid w:val="04D45809"/>
    <w:rsid w:val="068959C0"/>
    <w:rsid w:val="0C6ECB10"/>
    <w:rsid w:val="0D7BF44D"/>
    <w:rsid w:val="107E7831"/>
    <w:rsid w:val="12BDA539"/>
    <w:rsid w:val="13AA97C7"/>
    <w:rsid w:val="16CDB0BF"/>
    <w:rsid w:val="192FB795"/>
    <w:rsid w:val="19B269E7"/>
    <w:rsid w:val="19C12C48"/>
    <w:rsid w:val="1B8DD1E8"/>
    <w:rsid w:val="1BEAC244"/>
    <w:rsid w:val="1C2F4C77"/>
    <w:rsid w:val="1CC38C43"/>
    <w:rsid w:val="1E7714DF"/>
    <w:rsid w:val="1E90D685"/>
    <w:rsid w:val="212DE00D"/>
    <w:rsid w:val="232DF6D8"/>
    <w:rsid w:val="2363C6EF"/>
    <w:rsid w:val="23CF13DA"/>
    <w:rsid w:val="258294C2"/>
    <w:rsid w:val="2670EDB8"/>
    <w:rsid w:val="2759437D"/>
    <w:rsid w:val="2874A71D"/>
    <w:rsid w:val="28C38FE7"/>
    <w:rsid w:val="2DA21344"/>
    <w:rsid w:val="2E5EC29A"/>
    <w:rsid w:val="2F173F17"/>
    <w:rsid w:val="3063CE64"/>
    <w:rsid w:val="33777C8E"/>
    <w:rsid w:val="33E32856"/>
    <w:rsid w:val="36D53AB1"/>
    <w:rsid w:val="3E0A6610"/>
    <w:rsid w:val="3E396E18"/>
    <w:rsid w:val="3F36DD77"/>
    <w:rsid w:val="480A8DD3"/>
    <w:rsid w:val="49A65E34"/>
    <w:rsid w:val="4AAB5984"/>
    <w:rsid w:val="4B6EE644"/>
    <w:rsid w:val="4E28E40D"/>
    <w:rsid w:val="50C81A0B"/>
    <w:rsid w:val="50E84CC8"/>
    <w:rsid w:val="50F4294B"/>
    <w:rsid w:val="51DEB407"/>
    <w:rsid w:val="525483DA"/>
    <w:rsid w:val="52F7092D"/>
    <w:rsid w:val="5327C862"/>
    <w:rsid w:val="54432C02"/>
    <w:rsid w:val="55A6D97E"/>
    <w:rsid w:val="56050979"/>
    <w:rsid w:val="5B5F9262"/>
    <w:rsid w:val="5BB96215"/>
    <w:rsid w:val="5C5700D2"/>
    <w:rsid w:val="5C62AA84"/>
    <w:rsid w:val="5FFBA572"/>
    <w:rsid w:val="637F622D"/>
    <w:rsid w:val="643DFEDA"/>
    <w:rsid w:val="64C61B00"/>
    <w:rsid w:val="6713A033"/>
    <w:rsid w:val="683C6E12"/>
    <w:rsid w:val="69DB284C"/>
    <w:rsid w:val="69ED7F06"/>
    <w:rsid w:val="6A941801"/>
    <w:rsid w:val="7224C6FE"/>
    <w:rsid w:val="73B0FA25"/>
    <w:rsid w:val="74A32FAE"/>
    <w:rsid w:val="74E8269D"/>
    <w:rsid w:val="75A699E1"/>
    <w:rsid w:val="783BBB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232E5"/>
  <w15:chartTrackingRefBased/>
  <w15:docId w15:val="{0F4520C7-0068-4640-A66A-9DE931B1E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A07C9"/>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qFormat/>
    <w:rsid w:val="00CA07C9"/>
    <w:pPr>
      <w:numPr>
        <w:ilvl w:val="1"/>
      </w:numPr>
      <w:tabs>
        <w:tab w:val="left" w:pos="540"/>
      </w:tabs>
      <w:spacing w:before="0" w:line="240" w:lineRule="auto"/>
      <w:outlineLvl w:val="1"/>
    </w:pPr>
    <w:rPr>
      <w:rFonts w:asciiTheme="minorHAnsi" w:eastAsia="Times New Roman" w:hAnsiTheme="minorHAnsi" w:cs="Times New Roman"/>
      <w:b/>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7C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A07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7C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rsid w:val="00CA07C9"/>
    <w:rPr>
      <w:rFonts w:eastAsia="Times New Roman" w:cs="Times New Roman"/>
      <w:b/>
      <w:sz w:val="24"/>
      <w:szCs w:val="24"/>
    </w:rPr>
  </w:style>
  <w:style w:type="table" w:styleId="TableGrid">
    <w:name w:val="Table Grid"/>
    <w:basedOn w:val="TableNormal"/>
    <w:rsid w:val="002A5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681E"/>
    <w:pPr>
      <w:ind w:left="720"/>
      <w:contextualSpacing/>
    </w:pPr>
  </w:style>
  <w:style w:type="paragraph" w:customStyle="1" w:styleId="Bullet2">
    <w:name w:val="Bullet 2"/>
    <w:basedOn w:val="Normal"/>
    <w:rsid w:val="00D93D26"/>
    <w:pPr>
      <w:numPr>
        <w:numId w:val="6"/>
      </w:numPr>
      <w:tabs>
        <w:tab w:val="left" w:pos="1080"/>
      </w:tabs>
      <w:spacing w:after="120" w:line="240" w:lineRule="auto"/>
      <w:ind w:left="1080"/>
    </w:pPr>
    <w:rPr>
      <w:rFonts w:asciiTheme="majorHAnsi" w:eastAsia="Times New Roman" w:hAnsiTheme="majorHAnsi" w:cs="Times New Roman"/>
      <w:szCs w:val="20"/>
    </w:rPr>
  </w:style>
  <w:style w:type="character" w:styleId="CommentReference">
    <w:name w:val="annotation reference"/>
    <w:basedOn w:val="DefaultParagraphFont"/>
    <w:uiPriority w:val="99"/>
    <w:semiHidden/>
    <w:unhideWhenUsed/>
    <w:rsid w:val="004F4945"/>
    <w:rPr>
      <w:sz w:val="16"/>
      <w:szCs w:val="16"/>
    </w:rPr>
  </w:style>
  <w:style w:type="paragraph" w:styleId="CommentText">
    <w:name w:val="annotation text"/>
    <w:basedOn w:val="Normal"/>
    <w:link w:val="CommentTextChar"/>
    <w:uiPriority w:val="99"/>
    <w:semiHidden/>
    <w:unhideWhenUsed/>
    <w:rsid w:val="004F4945"/>
    <w:pPr>
      <w:spacing w:line="240" w:lineRule="auto"/>
    </w:pPr>
    <w:rPr>
      <w:sz w:val="20"/>
      <w:szCs w:val="20"/>
    </w:rPr>
  </w:style>
  <w:style w:type="character" w:customStyle="1" w:styleId="CommentTextChar">
    <w:name w:val="Comment Text Char"/>
    <w:basedOn w:val="DefaultParagraphFont"/>
    <w:link w:val="CommentText"/>
    <w:uiPriority w:val="99"/>
    <w:semiHidden/>
    <w:rsid w:val="004F4945"/>
    <w:rPr>
      <w:sz w:val="20"/>
      <w:szCs w:val="20"/>
    </w:rPr>
  </w:style>
  <w:style w:type="paragraph" w:styleId="CommentSubject">
    <w:name w:val="annotation subject"/>
    <w:basedOn w:val="CommentText"/>
    <w:next w:val="CommentText"/>
    <w:link w:val="CommentSubjectChar"/>
    <w:uiPriority w:val="99"/>
    <w:semiHidden/>
    <w:unhideWhenUsed/>
    <w:rsid w:val="004F4945"/>
    <w:rPr>
      <w:b/>
      <w:bCs/>
    </w:rPr>
  </w:style>
  <w:style w:type="character" w:customStyle="1" w:styleId="CommentSubjectChar">
    <w:name w:val="Comment Subject Char"/>
    <w:basedOn w:val="CommentTextChar"/>
    <w:link w:val="CommentSubject"/>
    <w:uiPriority w:val="99"/>
    <w:semiHidden/>
    <w:rsid w:val="004F4945"/>
    <w:rPr>
      <w:b/>
      <w:bCs/>
      <w:sz w:val="20"/>
      <w:szCs w:val="20"/>
    </w:rPr>
  </w:style>
  <w:style w:type="paragraph" w:styleId="BalloonText">
    <w:name w:val="Balloon Text"/>
    <w:basedOn w:val="Normal"/>
    <w:link w:val="BalloonTextChar"/>
    <w:uiPriority w:val="99"/>
    <w:semiHidden/>
    <w:unhideWhenUsed/>
    <w:rsid w:val="004F4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4945"/>
    <w:rPr>
      <w:rFonts w:ascii="Segoe UI" w:hAnsi="Segoe UI" w:cs="Segoe UI"/>
      <w:sz w:val="18"/>
      <w:szCs w:val="18"/>
    </w:rPr>
  </w:style>
  <w:style w:type="character" w:styleId="Hyperlink">
    <w:name w:val="Hyperlink"/>
    <w:basedOn w:val="DefaultParagraphFont"/>
    <w:uiPriority w:val="99"/>
    <w:unhideWhenUsed/>
    <w:rsid w:val="0092450A"/>
    <w:rPr>
      <w:color w:val="0563C1" w:themeColor="hyperlink"/>
      <w:u w:val="single"/>
    </w:rPr>
  </w:style>
  <w:style w:type="character" w:styleId="UnresolvedMention">
    <w:name w:val="Unresolved Mention"/>
    <w:basedOn w:val="DefaultParagraphFont"/>
    <w:uiPriority w:val="99"/>
    <w:semiHidden/>
    <w:unhideWhenUsed/>
    <w:rsid w:val="0092450A"/>
    <w:rPr>
      <w:color w:val="605E5C"/>
      <w:shd w:val="clear" w:color="auto" w:fill="E1DFDD"/>
    </w:rPr>
  </w:style>
  <w:style w:type="paragraph" w:styleId="Revision">
    <w:name w:val="Revision"/>
    <w:hidden/>
    <w:uiPriority w:val="99"/>
    <w:semiHidden/>
    <w:rsid w:val="001C5FCF"/>
    <w:pPr>
      <w:spacing w:after="0" w:line="240" w:lineRule="auto"/>
    </w:pPr>
  </w:style>
  <w:style w:type="paragraph" w:customStyle="1" w:styleId="Heading11">
    <w:name w:val="Heading 11"/>
    <w:basedOn w:val="Normal"/>
    <w:next w:val="Normal"/>
    <w:qFormat/>
    <w:rsid w:val="001C5FCF"/>
    <w:pPr>
      <w:keepNext/>
      <w:keepLines/>
      <w:tabs>
        <w:tab w:val="num" w:pos="360"/>
        <w:tab w:val="left" w:pos="1080"/>
      </w:tabs>
      <w:spacing w:after="0" w:line="240" w:lineRule="auto"/>
      <w:outlineLvl w:val="0"/>
    </w:pPr>
    <w:rPr>
      <w:rFonts w:ascii="Calibri Light" w:eastAsia="Times New Roman" w:hAnsi="Calibri Light" w:cs="Times New Roman"/>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978754">
      <w:bodyDiv w:val="1"/>
      <w:marLeft w:val="0"/>
      <w:marRight w:val="0"/>
      <w:marTop w:val="0"/>
      <w:marBottom w:val="0"/>
      <w:divBdr>
        <w:top w:val="none" w:sz="0" w:space="0" w:color="auto"/>
        <w:left w:val="none" w:sz="0" w:space="0" w:color="auto"/>
        <w:bottom w:val="none" w:sz="0" w:space="0" w:color="auto"/>
        <w:right w:val="none" w:sz="0" w:space="0" w:color="auto"/>
      </w:divBdr>
    </w:div>
    <w:div w:id="780732046">
      <w:bodyDiv w:val="1"/>
      <w:marLeft w:val="0"/>
      <w:marRight w:val="0"/>
      <w:marTop w:val="0"/>
      <w:marBottom w:val="0"/>
      <w:divBdr>
        <w:top w:val="none" w:sz="0" w:space="0" w:color="auto"/>
        <w:left w:val="none" w:sz="0" w:space="0" w:color="auto"/>
        <w:bottom w:val="none" w:sz="0" w:space="0" w:color="auto"/>
        <w:right w:val="none" w:sz="0" w:space="0" w:color="auto"/>
      </w:divBdr>
    </w:div>
    <w:div w:id="799343757">
      <w:bodyDiv w:val="1"/>
      <w:marLeft w:val="0"/>
      <w:marRight w:val="0"/>
      <w:marTop w:val="0"/>
      <w:marBottom w:val="0"/>
      <w:divBdr>
        <w:top w:val="none" w:sz="0" w:space="0" w:color="auto"/>
        <w:left w:val="none" w:sz="0" w:space="0" w:color="auto"/>
        <w:bottom w:val="none" w:sz="0" w:space="0" w:color="auto"/>
        <w:right w:val="none" w:sz="0" w:space="0" w:color="auto"/>
      </w:divBdr>
    </w:div>
    <w:div w:id="1494486327">
      <w:bodyDiv w:val="1"/>
      <w:marLeft w:val="0"/>
      <w:marRight w:val="0"/>
      <w:marTop w:val="0"/>
      <w:marBottom w:val="0"/>
      <w:divBdr>
        <w:top w:val="none" w:sz="0" w:space="0" w:color="auto"/>
        <w:left w:val="none" w:sz="0" w:space="0" w:color="auto"/>
        <w:bottom w:val="none" w:sz="0" w:space="0" w:color="auto"/>
        <w:right w:val="none" w:sz="0" w:space="0" w:color="auto"/>
      </w:divBdr>
    </w:div>
    <w:div w:id="198543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ri.service-now.com/sp?id=sc_cat_item&amp;sys_id=877ce579dbe09c508a123a4b7c9619fb&amp;sysparm_category=5040eb10db5a6300ad7f92c6db96196d" TargetMode="External"/><Relationship Id="Rd3ee9d0c8aa242e5" Type="http://schemas.microsoft.com/office/2019/09/relationships/intelligence" Target="intelligenc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file>

<file path=customXml/item2.xml><?xml version="1.0" encoding="utf-8"?>
<p:properties xmlns:p="http://schemas.microsoft.com/office/2006/metadata/properties" xmlns:xsi="http://www.w3.org/2001/XMLSchema-instance" xmlns:pc="http://schemas.microsoft.com/office/infopath/2007/PartnerControls">
  <documentManagement>
    <IST_x0020_PF_x0020_Hierarchy_x0020_ID xmlns="aa3f8086-1f90-4cc2-8f42-34d946a68d01" xsi:nil="true"/>
    <IST_x0020_Dept xmlns="aa3f8086-1f90-4cc2-8f42-34d946a68d01">Corp Security</IST_x0020_Dept>
    <Keyword xmlns="aa3f8086-1f90-4cc2-8f42-34d946a68d01">Patch Patching</Keyword>
    <IST_x0020_PC_x0020_Unique_x0020_ID xmlns="aa3f8086-1f90-4cc2-8f42-34d946a68d01" xsi:nil="true"/>
    <Author0 xmlns="aa3f8086-1f90-4cc2-8f42-34d946a68d01">
      <UserInfo>
        <DisplayName>Nicholas Luebbers</DisplayName>
        <AccountId>19</AccountId>
        <AccountType/>
      </UserInfo>
    </Author0>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6F203346F10EF418668987ABDF22E97" ma:contentTypeVersion="36" ma:contentTypeDescription="Create a new document." ma:contentTypeScope="" ma:versionID="007cce4b734d14963c373d4abbac2ece">
  <xsd:schema xmlns:xsd="http://www.w3.org/2001/XMLSchema" xmlns:xs="http://www.w3.org/2001/XMLSchema" xmlns:p="http://schemas.microsoft.com/office/2006/metadata/properties" xmlns:ns2="aa3f8086-1f90-4cc2-8f42-34d946a68d01" xmlns:ns3="8678ff27-98e9-474d-84b2-af640dac6e67" targetNamespace="http://schemas.microsoft.com/office/2006/metadata/properties" ma:root="true" ma:fieldsID="9ebf3fddbcdbaf795659e72450c7f93d" ns2:_="" ns3:_="">
    <xsd:import namespace="aa3f8086-1f90-4cc2-8f42-34d946a68d01"/>
    <xsd:import namespace="8678ff27-98e9-474d-84b2-af640dac6e67"/>
    <xsd:element name="properties">
      <xsd:complexType>
        <xsd:sequence>
          <xsd:element name="documentManagement">
            <xsd:complexType>
              <xsd:all>
                <xsd:element ref="ns2:Author0"/>
                <xsd:element ref="ns2:IST_x0020_Dept"/>
                <xsd:element ref="ns2:Keyword" minOccurs="0"/>
                <xsd:element ref="ns2:IST_x0020_PC_x0020_Unique_x0020_ID" minOccurs="0"/>
                <xsd:element ref="ns2:IST_x0020_PF_x0020_Hierarchy_x0020_ID" minOccurs="0"/>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f8086-1f90-4cc2-8f42-34d946a68d01" elementFormDefault="qualified">
    <xsd:import namespace="http://schemas.microsoft.com/office/2006/documentManagement/types"/>
    <xsd:import namespace="http://schemas.microsoft.com/office/infopath/2007/PartnerControls"/>
    <xsd:element name="Author0" ma:index="2" ma:displayName="Owner" ma:list="UserInfo" ma:SharePointGroup="0" ma:internalName="Auth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IST_x0020_Dept" ma:index="3" ma:displayName="IST Dept" ma:format="Dropdown" ma:internalName="IST_x0020_Dept" ma:readOnly="false">
      <xsd:simpleType>
        <xsd:restriction base="dms:Choice">
          <xsd:enumeration value="IST Service Delivery"/>
          <xsd:enumeration value="IST Applications"/>
          <xsd:enumeration value="EDM &amp; BI"/>
          <xsd:enumeration value="EA and IST Bus Mgmt"/>
          <xsd:enumeration value="I&amp;O"/>
          <xsd:enumeration value="Corp Security"/>
        </xsd:restriction>
      </xsd:simpleType>
    </xsd:element>
    <xsd:element name="Keyword" ma:index="4" nillable="true" ma:displayName="Keyword" ma:internalName="Keyword" ma:readOnly="false">
      <xsd:simpleType>
        <xsd:restriction base="dms:Text">
          <xsd:maxLength value="255"/>
        </xsd:restriction>
      </xsd:simpleType>
    </xsd:element>
    <xsd:element name="IST_x0020_PC_x0020_Unique_x0020_ID" ma:index="5" nillable="true" ma:displayName="IST PC Unique ID" ma:description="IST Enablement only" ma:internalName="IST_x0020_PC_x0020_Unique_x0020_ID" ma:readOnly="false">
      <xsd:simpleType>
        <xsd:restriction base="dms:Text">
          <xsd:maxLength value="255"/>
        </xsd:restriction>
      </xsd:simpleType>
    </xsd:element>
    <xsd:element name="IST_x0020_PF_x0020_Hierarchy_x0020_ID" ma:index="6" nillable="true" ma:displayName="IST PF Hierarchy ID" ma:description="IST Enablement only" ma:internalName="IST_x0020_PF_x0020_Hierarchy_x0020_ID" ma:readOnly="false">
      <xsd:simpleType>
        <xsd:restriction base="dms:Text">
          <xsd:maxLength value="255"/>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78ff27-98e9-474d-84b2-af640dac6e6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54FA71-4F5E-4E68-8104-A939DE9981DB}"/>
</file>

<file path=customXml/itemProps2.xml><?xml version="1.0" encoding="utf-8"?>
<ds:datastoreItem xmlns:ds="http://schemas.openxmlformats.org/officeDocument/2006/customXml" ds:itemID="{FA2D57A9-98B8-4BF1-8AA7-D76F965B73E5}">
  <ds:schemaRefs>
    <ds:schemaRef ds:uri="http://schemas.microsoft.com/office/2006/metadata/properties"/>
    <ds:schemaRef ds:uri="http://schemas.microsoft.com/office/infopath/2007/PartnerControls"/>
    <ds:schemaRef ds:uri="8d866f96-c6cb-4f36-ac45-dfeb6afa52f4"/>
  </ds:schemaRefs>
</ds:datastoreItem>
</file>

<file path=customXml/itemProps3.xml><?xml version="1.0" encoding="utf-8"?>
<ds:datastoreItem xmlns:ds="http://schemas.openxmlformats.org/officeDocument/2006/customXml" ds:itemID="{4CF9616A-DC2E-4022-BAA4-8C7995ED9140}"/>
</file>

<file path=docProps/app.xml><?xml version="1.0" encoding="utf-8"?>
<Properties xmlns="http://schemas.openxmlformats.org/officeDocument/2006/extended-properties" xmlns:vt="http://schemas.openxmlformats.org/officeDocument/2006/docPropsVTypes">
  <Template>Normal.dotm</Template>
  <TotalTime>46</TotalTime>
  <Pages>7</Pages>
  <Words>1817</Words>
  <Characters>10359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Patch Management Standard</vt:lpstr>
    </vt:vector>
  </TitlesOfParts>
  <Company/>
  <LinksUpToDate>false</LinksUpToDate>
  <CharactersWithSpaces>12152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Patch Management Standard</dc:title>
  <dc:subject/>
  <dc:creator>Shreyas Ramesh</dc:creator>
  <cp:keywords/>
  <dc:description/>
  <cp:lastModifiedBy>Nicholas Luebbers</cp:lastModifiedBy>
  <cp:revision>101</cp:revision>
  <dcterms:created xsi:type="dcterms:W3CDTF">2021-08-30T16:18:00Z</dcterms:created>
  <dcterms:modified xsi:type="dcterms:W3CDTF">2023-01-17T19:43:00Z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0x010100D6F203346F10EF418668987ABDF22E97</vt:lpwstr>
  </property>
  <property fmtid="{D5CDD505-2E9C-101B-9397-08002B2CF9AE}" pid="3" name="IST Document Type">
    <vt:lpwstr/>
  </property>
  <property fmtid="{D5CDD505-2E9C-101B-9397-08002B2CF9AE}" pid="4" name="Order">
    <vt:r8>1200</vt:r8>
  </property>
  <property fmtid="{D5CDD505-2E9C-101B-9397-08002B2CF9AE}" pid="5" name="Parent Application">
    <vt:lpwstr/>
  </property>
  <property fmtid="{D5CDD505-2E9C-101B-9397-08002B2CF9AE}" pid="6" name="Projects">
    <vt:lpwstr/>
  </property>
  <property fmtid="{D5CDD505-2E9C-101B-9397-08002B2CF9AE}" pid="7" name="Portfolios">
    <vt:lpwstr/>
  </property>
  <property fmtid="{D5CDD505-2E9C-101B-9397-08002B2CF9AE}" pid="8" name="Sensitivity">
    <vt:lpwstr>106;#Low|ee483d52-c7ca-4c12-a645-2f7c81a936c6</vt:lpwstr>
  </property>
  <property fmtid="{D5CDD505-2E9C-101B-9397-08002B2CF9AE}" pid="9" name="d99dc0622ef9444ebc9da0b7d6e78890">
    <vt:lpwstr/>
  </property>
  <property fmtid="{D5CDD505-2E9C-101B-9397-08002B2CF9AE}" pid="10" name="xd_ProgID">
    <vt:lpwstr/>
  </property>
  <property fmtid="{D5CDD505-2E9C-101B-9397-08002B2CF9AE}" pid="11" name="h7267d47664f4e57ab2abd0b954414dc">
    <vt:lpwstr/>
  </property>
  <property fmtid="{D5CDD505-2E9C-101B-9397-08002B2CF9AE}" pid="12" name="m873e4f0192b419599a2f181048525cd">
    <vt:lpwstr/>
  </property>
  <property fmtid="{D5CDD505-2E9C-101B-9397-08002B2CF9AE}" pid="13" name="e96f4d7f666d4cdab3265c3e6493257e">
    <vt:lpwstr>Low|ee483d52-c7ca-4c12-a645-2f7c81a936c6</vt:lpwstr>
  </property>
  <property fmtid="{D5CDD505-2E9C-101B-9397-08002B2CF9AE}" pid="14" name="TaxCatchAll">
    <vt:lpwstr>106;#Low|ee483d52-c7ca-4c12-a645-2f7c81a936c6</vt:lpwstr>
  </property>
  <property fmtid="{D5CDD505-2E9C-101B-9397-08002B2CF9AE}" pid="15" name="Application">
    <vt:lpwstr/>
  </property>
  <property fmtid="{D5CDD505-2E9C-101B-9397-08002B2CF9AE}" pid="16" name="CIO Approval">
    <vt:lpwstr>Pending</vt:lpwstr>
  </property>
  <property fmtid="{D5CDD505-2E9C-101B-9397-08002B2CF9AE}" pid="17" name="TemplateUrl">
    <vt:lpwstr/>
  </property>
  <property fmtid="{D5CDD505-2E9C-101B-9397-08002B2CF9AE}" pid="18" name="kcb51b777eec4adf94e02609e1d7e81d">
    <vt:lpwstr/>
  </property>
  <property fmtid="{D5CDD505-2E9C-101B-9397-08002B2CF9AE}" pid="19" name="oc135bb1b247487c8e240886c27b85bb">
    <vt:lpwstr/>
  </property>
</Properties>
</file>