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BFFA" w14:textId="766E32F5" w:rsidR="00DE70AF" w:rsidRDefault="00DE70AF" w:rsidP="00DE70AF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9CEE40" wp14:editId="7A49A5E5">
            <wp:extent cx="5943600" cy="2982595"/>
            <wp:effectExtent l="0" t="0" r="0" b="825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B288" w14:textId="77777777" w:rsidR="00DE70AF" w:rsidRDefault="00DE70AF" w:rsidP="00DE70A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Supplementary 7: no association between the selection pression (median bin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pNpS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and the percentage of transposase gene calls in the genome. </w:t>
      </w:r>
    </w:p>
    <w:p w14:paraId="32E2A606" w14:textId="09AE379A" w:rsidR="0097619C" w:rsidRDefault="0097619C"/>
    <w:p w14:paraId="37551669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97E54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  <w:sz w:val="20"/>
          <w:szCs w:val="20"/>
        </w:rPr>
        <w:t>Jimmy’s clarification graphs:</w:t>
      </w:r>
    </w:p>
    <w:p w14:paraId="5C804198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13F55" w14:textId="081975C1" w:rsidR="00DE70AF" w:rsidRPr="00DE70AF" w:rsidRDefault="00DE70AF" w:rsidP="00DE70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2BA461C" wp14:editId="12E5772B">
            <wp:extent cx="4017010" cy="3064510"/>
            <wp:effectExtent l="0" t="0" r="2540" b="2540"/>
            <wp:docPr id="16" name="Picture 16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venn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74ED" w14:textId="77777777" w:rsidR="00DE70AF" w:rsidRPr="00DE70AF" w:rsidRDefault="00DE70AF" w:rsidP="00DE70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Calibri" w:eastAsia="Times New Roman" w:hAnsi="Calibri" w:cs="Calibri"/>
          <w:color w:val="000000"/>
        </w:rPr>
        <w:t>This is somewhat useful, but I need to take the virus out of this graph</w:t>
      </w:r>
    </w:p>
    <w:p w14:paraId="4EDD61CB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D7D58" w14:textId="1B99C999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CC0000"/>
          <w:bdr w:val="none" w:sz="0" w:space="0" w:color="auto" w:frame="1"/>
        </w:rPr>
        <w:lastRenderedPageBreak/>
        <w:drawing>
          <wp:inline distT="0" distB="0" distL="0" distR="0" wp14:anchorId="4F206F38" wp14:editId="166E2BFA">
            <wp:extent cx="2781300" cy="3619500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AF">
        <w:rPr>
          <w:rFonts w:ascii="Arial" w:eastAsia="Times New Roman" w:hAnsi="Arial" w:cs="Arial"/>
          <w:color w:val="CC0000"/>
        </w:rPr>
        <w:t xml:space="preserve">graph from </w:t>
      </w:r>
      <w:hyperlink r:id="rId7" w:history="1">
        <w:r w:rsidRPr="00DE70AF">
          <w:rPr>
            <w:rFonts w:ascii="Arial" w:eastAsia="Times New Roman" w:hAnsi="Arial" w:cs="Arial"/>
            <w:color w:val="1155CC"/>
            <w:u w:val="single"/>
          </w:rPr>
          <w:t xml:space="preserve">the </w:t>
        </w:r>
        <w:proofErr w:type="spellStart"/>
        <w:r w:rsidRPr="00DE70AF">
          <w:rPr>
            <w:rFonts w:ascii="Arial" w:eastAsia="Times New Roman" w:hAnsi="Arial" w:cs="Arial"/>
            <w:color w:val="1155CC"/>
            <w:u w:val="single"/>
          </w:rPr>
          <w:t>Integron</w:t>
        </w:r>
        <w:proofErr w:type="spellEnd"/>
        <w:r w:rsidRPr="00DE70AF">
          <w:rPr>
            <w:rFonts w:ascii="Arial" w:eastAsia="Times New Roman" w:hAnsi="Arial" w:cs="Arial"/>
            <w:color w:val="1155CC"/>
            <w:u w:val="single"/>
          </w:rPr>
          <w:t xml:space="preserve"> Finder paper</w:t>
        </w:r>
      </w:hyperlink>
    </w:p>
    <w:p w14:paraId="20BE4F38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1DE4D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  <w:sz w:val="20"/>
          <w:szCs w:val="20"/>
        </w:rPr>
        <w:t>Trashed graphs: </w:t>
      </w:r>
    </w:p>
    <w:p w14:paraId="3CEA0A56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B6153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>Here is a correlation between biofilm, transposase, and defense mechanism genes. [note: the association between transposases and defense mechanism is not better than random chance: 0.73*0.5 = 0.365; I will probably only pick the type of transposase that will carry genes. Class II]</w:t>
      </w:r>
    </w:p>
    <w:p w14:paraId="58F1B66B" w14:textId="03459515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A57A963" wp14:editId="087ECB30">
            <wp:extent cx="4049395" cy="3009900"/>
            <wp:effectExtent l="0" t="0" r="825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1E15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  <w:sz w:val="20"/>
          <w:szCs w:val="20"/>
        </w:rPr>
        <w:t>Figure 4. The association between biofilm, transposase, and toxin-antitoxin </w:t>
      </w:r>
    </w:p>
    <w:p w14:paraId="55BEE518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79EEA" w14:textId="50727A2C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009FFFA" wp14:editId="4DD71CA3">
            <wp:extent cx="3820795" cy="2525395"/>
            <wp:effectExtent l="0" t="0" r="8255" b="825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3EA3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7E5EE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CC0000"/>
        </w:rPr>
        <w:t>This page will not be part of the manuscript, just of reference/error checking</w:t>
      </w:r>
    </w:p>
    <w:p w14:paraId="795CB8E5" w14:textId="21A20A75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CC0000"/>
          <w:bdr w:val="none" w:sz="0" w:space="0" w:color="auto" w:frame="1"/>
        </w:rPr>
        <w:drawing>
          <wp:inline distT="0" distB="0" distL="0" distR="0" wp14:anchorId="1AADD877" wp14:editId="1AFE1CC2">
            <wp:extent cx="2999105" cy="2656205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AF">
        <w:rPr>
          <w:rFonts w:ascii="Arial" w:eastAsia="Times New Roman" w:hAnsi="Arial" w:cs="Arial"/>
          <w:noProof/>
          <w:color w:val="CC0000"/>
          <w:bdr w:val="none" w:sz="0" w:space="0" w:color="auto" w:frame="1"/>
        </w:rPr>
        <w:drawing>
          <wp:inline distT="0" distB="0" distL="0" distR="0" wp14:anchorId="1A55FB04" wp14:editId="2A8E3DA8">
            <wp:extent cx="2781300" cy="2808605"/>
            <wp:effectExtent l="0" t="0" r="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166F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F9A3D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b/>
          <w:bCs/>
          <w:color w:val="000000"/>
        </w:rPr>
        <w:t xml:space="preserve">Good news: number of transposases in a bin and the abundance of each transposase is independent. </w:t>
      </w:r>
      <w:r w:rsidRPr="00DE70AF">
        <w:rPr>
          <w:rFonts w:ascii="Arial" w:eastAsia="Times New Roman" w:hAnsi="Arial" w:cs="Arial"/>
          <w:color w:val="000000"/>
        </w:rPr>
        <w:t>Say a bin has 1 transposase, and its abundance is 20 reads per base pair. Another bin has 40 transposases, the average coverage of those 20 transposases will also be 20 reads per base pair. </w:t>
      </w:r>
    </w:p>
    <w:p w14:paraId="4B6CB7A7" w14:textId="3BE5FC26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F8B88E8" wp14:editId="1B5F8E62">
            <wp:extent cx="5666105" cy="2715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62ED" w14:textId="52C9B524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102CBA" wp14:editId="517D6648">
            <wp:extent cx="2999105" cy="14478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AF">
        <w:rPr>
          <w:rFonts w:ascii="Arial" w:eastAsia="Times New Roman" w:hAnsi="Arial" w:cs="Arial"/>
          <w:color w:val="000000"/>
        </w:rPr>
        <w:t>Same graph, but no bin names. A dot is a bin</w:t>
      </w:r>
    </w:p>
    <w:p w14:paraId="1CB5EF19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 xml:space="preserve">Malaspina crew samples deep ocean only, and for each site (same depth), they sequence samples from a 0.2-0.8μm and 0.8-20μm filter. The bins from 0.2-20 </w:t>
      </w:r>
      <w:proofErr w:type="spellStart"/>
      <w:r w:rsidRPr="00DE70AF">
        <w:rPr>
          <w:rFonts w:ascii="Arial" w:eastAsia="Times New Roman" w:hAnsi="Arial" w:cs="Arial"/>
          <w:color w:val="000000"/>
        </w:rPr>
        <w:t>μm</w:t>
      </w:r>
      <w:proofErr w:type="spellEnd"/>
      <w:r w:rsidRPr="00DE70AF">
        <w:rPr>
          <w:rFonts w:ascii="Arial" w:eastAsia="Times New Roman" w:hAnsi="Arial" w:cs="Arial"/>
          <w:color w:val="000000"/>
        </w:rPr>
        <w:t xml:space="preserve"> filter have a higher count of transposases than those from 0.2-0.8μm (supplementary 5).</w:t>
      </w:r>
    </w:p>
    <w:p w14:paraId="0AA25320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B9937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70AF">
        <w:rPr>
          <w:rFonts w:ascii="Arial" w:eastAsia="Times New Roman" w:hAnsi="Arial" w:cs="Arial"/>
          <w:color w:val="000000"/>
        </w:rPr>
        <w:t>Pn-ps</w:t>
      </w:r>
      <w:proofErr w:type="spellEnd"/>
      <w:r w:rsidRPr="00DE70AF">
        <w:rPr>
          <w:rFonts w:ascii="Arial" w:eastAsia="Times New Roman" w:hAnsi="Arial" w:cs="Arial"/>
          <w:color w:val="000000"/>
        </w:rPr>
        <w:t xml:space="preserve"> ratio: I found that transposases have significantly higher </w:t>
      </w:r>
      <w:proofErr w:type="spellStart"/>
      <w:r w:rsidRPr="00DE70AF">
        <w:rPr>
          <w:rFonts w:ascii="Arial" w:eastAsia="Times New Roman" w:hAnsi="Arial" w:cs="Arial"/>
          <w:color w:val="000000"/>
        </w:rPr>
        <w:t>pn-ps</w:t>
      </w:r>
      <w:proofErr w:type="spellEnd"/>
      <w:r w:rsidRPr="00DE70AF">
        <w:rPr>
          <w:rFonts w:ascii="Arial" w:eastAsia="Times New Roman" w:hAnsi="Arial" w:cs="Arial"/>
          <w:color w:val="000000"/>
        </w:rPr>
        <w:t xml:space="preserve"> than their bin’s median. Besides that, no significant result has been found. </w:t>
      </w:r>
    </w:p>
    <w:p w14:paraId="25119B5D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20418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70AF">
        <w:rPr>
          <w:rFonts w:ascii="Arial" w:eastAsia="Times New Roman" w:hAnsi="Arial" w:cs="Arial"/>
          <w:color w:val="000000"/>
        </w:rPr>
        <w:t>HGTector</w:t>
      </w:r>
      <w:proofErr w:type="spellEnd"/>
      <w:r w:rsidRPr="00DE70AF">
        <w:rPr>
          <w:rFonts w:ascii="Arial" w:eastAsia="Times New Roman" w:hAnsi="Arial" w:cs="Arial"/>
          <w:color w:val="000000"/>
        </w:rPr>
        <w:t>: shows a random scatter between count of transposase in bin and number of Horizontally Transferred Genes. Need to know whether it’s the case with RNA expression. </w:t>
      </w:r>
    </w:p>
    <w:p w14:paraId="29E3E73C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5"/>
        <w:gridCol w:w="1886"/>
        <w:gridCol w:w="2993"/>
        <w:gridCol w:w="2796"/>
      </w:tblGrid>
      <w:tr w:rsidR="00DE70AF" w:rsidRPr="00DE70AF" w14:paraId="1273C58D" w14:textId="77777777" w:rsidTr="00DE70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AAC75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Gene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6DF2B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Non-</w:t>
            </w:r>
            <w:proofErr w:type="spellStart"/>
            <w:r w:rsidRPr="00DE70AF">
              <w:rPr>
                <w:rFonts w:ascii="Arial" w:eastAsia="Times New Roman" w:hAnsi="Arial" w:cs="Arial"/>
                <w:color w:val="000000"/>
              </w:rPr>
              <w:t>integron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C4639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 xml:space="preserve">Defense Mechanism on </w:t>
            </w:r>
            <w:proofErr w:type="spellStart"/>
            <w:r w:rsidRPr="00DE70AF">
              <w:rPr>
                <w:rFonts w:ascii="Arial" w:eastAsia="Times New Roman" w:hAnsi="Arial" w:cs="Arial"/>
                <w:color w:val="000000"/>
              </w:rPr>
              <w:t>integron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EA4C4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Other cassette with gene calls </w:t>
            </w:r>
          </w:p>
        </w:tc>
      </w:tr>
      <w:tr w:rsidR="00DE70AF" w:rsidRPr="00DE70AF" w14:paraId="4BF6034E" w14:textId="77777777" w:rsidTr="00DE70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E7D99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 xml:space="preserve">Median </w:t>
            </w:r>
            <w:proofErr w:type="spellStart"/>
            <w:r w:rsidRPr="00DE70AF">
              <w:rPr>
                <w:rFonts w:ascii="Arial" w:eastAsia="Times New Roman" w:hAnsi="Arial" w:cs="Arial"/>
                <w:color w:val="000000"/>
              </w:rPr>
              <w:t>pNpS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54C71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0.104 (n=300K)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809D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0.0829 (n=55)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CE0B9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0.143 (n=463)</w:t>
            </w:r>
          </w:p>
        </w:tc>
      </w:tr>
      <w:tr w:rsidR="00DE70AF" w:rsidRPr="00DE70AF" w14:paraId="267056D6" w14:textId="77777777" w:rsidTr="00DE70AF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9A8F8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2-sample t-tests p-value for difference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3FF92" w14:textId="77777777" w:rsidR="00DE70AF" w:rsidRPr="00DE70AF" w:rsidRDefault="00DE70AF" w:rsidP="00DE70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1.0e-06</w:t>
            </w:r>
          </w:p>
        </w:tc>
      </w:tr>
    </w:tbl>
    <w:p w14:paraId="3EC01E91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17DCF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 xml:space="preserve">Both filtered out </w:t>
      </w:r>
      <w:proofErr w:type="spellStart"/>
      <w:r w:rsidRPr="00DE70AF">
        <w:rPr>
          <w:rFonts w:ascii="Arial" w:eastAsia="Times New Roman" w:hAnsi="Arial" w:cs="Arial"/>
          <w:color w:val="000000"/>
        </w:rPr>
        <w:t>pNpS</w:t>
      </w:r>
      <w:proofErr w:type="spellEnd"/>
      <w:r w:rsidRPr="00DE70AF">
        <w:rPr>
          <w:rFonts w:ascii="Arial" w:eastAsia="Times New Roman" w:hAnsi="Arial" w:cs="Arial"/>
          <w:color w:val="000000"/>
        </w:rPr>
        <w:t xml:space="preserve"> &gt; 10 </w:t>
      </w:r>
    </w:p>
    <w:p w14:paraId="162465F0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3"/>
        <w:gridCol w:w="3496"/>
        <w:gridCol w:w="1699"/>
        <w:gridCol w:w="1699"/>
      </w:tblGrid>
      <w:tr w:rsidR="00DE70AF" w:rsidRPr="00DE70AF" w14:paraId="6749F4AB" w14:textId="77777777" w:rsidTr="00DE70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65DB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Gene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B48D7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Non-transposase-or-cassette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6487A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Transposases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7180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Cassette Seq</w:t>
            </w:r>
          </w:p>
        </w:tc>
      </w:tr>
      <w:tr w:rsidR="00DE70AF" w:rsidRPr="00DE70AF" w14:paraId="2E95A757" w14:textId="77777777" w:rsidTr="00DE70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C34AA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lastRenderedPageBreak/>
              <w:t xml:space="preserve">Median </w:t>
            </w:r>
            <w:proofErr w:type="spellStart"/>
            <w:r w:rsidRPr="00DE70AF">
              <w:rPr>
                <w:rFonts w:ascii="Arial" w:eastAsia="Times New Roman" w:hAnsi="Arial" w:cs="Arial"/>
                <w:color w:val="000000"/>
              </w:rPr>
              <w:t>pNpS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D30DA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  <w:shd w:val="clear" w:color="auto" w:fill="FFFF00"/>
              </w:rPr>
              <w:t xml:space="preserve">0.105 (n=100K, </w:t>
            </w:r>
            <w:proofErr w:type="gramStart"/>
            <w:r w:rsidRPr="00DE70AF">
              <w:rPr>
                <w:rFonts w:ascii="Arial" w:eastAsia="Times New Roman" w:hAnsi="Arial" w:cs="Arial"/>
                <w:color w:val="000000"/>
                <w:shd w:val="clear" w:color="auto" w:fill="FFFF00"/>
              </w:rPr>
              <w:t>random-sampled</w:t>
            </w:r>
            <w:proofErr w:type="gramEnd"/>
            <w:r w:rsidRPr="00DE70AF">
              <w:rPr>
                <w:rFonts w:ascii="Arial" w:eastAsia="Times New Roman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805E5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  <w:shd w:val="clear" w:color="auto" w:fill="FFFF00"/>
              </w:rPr>
              <w:t>0.176 (n=1121)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6EED7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0.194 (n=1236)</w:t>
            </w:r>
          </w:p>
        </w:tc>
      </w:tr>
      <w:tr w:rsidR="00DE70AF" w:rsidRPr="00DE70AF" w14:paraId="5933C95B" w14:textId="77777777" w:rsidTr="00DE70AF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18A8C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2-sample t-tests p-value for difference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D03CF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&lt; 1e-30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80C11" w14:textId="77777777" w:rsidR="00DE70AF" w:rsidRPr="00DE70AF" w:rsidRDefault="00DE70AF" w:rsidP="00DE70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0AF">
              <w:rPr>
                <w:rFonts w:ascii="Arial" w:eastAsia="Times New Roman" w:hAnsi="Arial" w:cs="Arial"/>
                <w:color w:val="000000"/>
              </w:rPr>
              <w:t>&lt; 1e-30</w:t>
            </w:r>
          </w:p>
        </w:tc>
      </w:tr>
    </w:tbl>
    <w:p w14:paraId="32C09874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55F4D" w14:textId="62A2138D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90BA5B" wp14:editId="107E918A">
            <wp:extent cx="5943600" cy="2068195"/>
            <wp:effectExtent l="0" t="0" r="0" b="8255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D98C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 xml:space="preserve">Figure 5 (excuse the lettering). </w:t>
      </w:r>
      <w:r w:rsidRPr="00DE70AF">
        <w:rPr>
          <w:rFonts w:ascii="Arial" w:eastAsia="Times New Roman" w:hAnsi="Arial" w:cs="Arial"/>
          <w:color w:val="000000"/>
          <w:sz w:val="20"/>
          <w:szCs w:val="20"/>
        </w:rPr>
        <w:t xml:space="preserve">(D) The proportion of each category of genes in each Malaspina’s bin, separated by their lifestyles. A Free-living bin = its abundance is 10 times higher in 0.2-0.8μm than in 0.8-20μm samples. A particle-attached bin = its abundance is 2 times higher in 0.8-20μm samples. A mix bin = 0.8-20μm abundance between 0.5 to 10 </w:t>
      </w:r>
      <w:proofErr w:type="gramStart"/>
      <w:r w:rsidRPr="00DE70AF">
        <w:rPr>
          <w:rFonts w:ascii="Arial" w:eastAsia="Times New Roman" w:hAnsi="Arial" w:cs="Arial"/>
          <w:color w:val="000000"/>
          <w:sz w:val="20"/>
          <w:szCs w:val="20"/>
        </w:rPr>
        <w:t>folder</w:t>
      </w:r>
      <w:proofErr w:type="gramEnd"/>
      <w:r w:rsidRPr="00DE70AF">
        <w:rPr>
          <w:rFonts w:ascii="Arial" w:eastAsia="Times New Roman" w:hAnsi="Arial" w:cs="Arial"/>
          <w:color w:val="000000"/>
          <w:sz w:val="20"/>
          <w:szCs w:val="20"/>
        </w:rPr>
        <w:t xml:space="preserve"> compared to the 0.2-0.8μm samples</w:t>
      </w:r>
    </w:p>
    <w:p w14:paraId="72B7C21F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F1F8B" w14:textId="77777777" w:rsidR="00DE70AF" w:rsidRPr="00DE70AF" w:rsidRDefault="00DE70AF" w:rsidP="00DE70AF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>In deep Malaspina’s samples (bins are all from deep ocean) particle-attached bins are more enriched in transposases and defense mechanisms. Particle-attached microbes and mixed, both have significantly higher proportion of defense mechanisms genes compared to free-living microbes. </w:t>
      </w:r>
    </w:p>
    <w:p w14:paraId="0989C9C7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color w:val="000000"/>
        </w:rPr>
        <w:tab/>
        <w:t xml:space="preserve">In our analysis of the deep Malaspina ocean, defense mechanisms genes are found more in particle-attached MAGs (compared to free-living bins, p-value = 0.0003, 50 bins in both groups, see supplementary 5). [Note that in the literature: toxin-antitoxin system sometimes upregulates or downregulates Biofilm expression, it really depends on the toxin. </w:t>
      </w:r>
      <w:proofErr w:type="gramStart"/>
      <w:r w:rsidRPr="00DE70AF">
        <w:rPr>
          <w:rFonts w:ascii="Arial" w:eastAsia="Times New Roman" w:hAnsi="Arial" w:cs="Arial"/>
          <w:color w:val="000000"/>
        </w:rPr>
        <w:t>So</w:t>
      </w:r>
      <w:proofErr w:type="gramEnd"/>
      <w:r w:rsidRPr="00DE70AF">
        <w:rPr>
          <w:rFonts w:ascii="Arial" w:eastAsia="Times New Roman" w:hAnsi="Arial" w:cs="Arial"/>
          <w:color w:val="000000"/>
        </w:rPr>
        <w:t xml:space="preserve"> a toxin to biofilm relation needs more scrutiny]. They can potentially help their host to compete on a particle.</w:t>
      </w:r>
    </w:p>
    <w:p w14:paraId="060E8634" w14:textId="77777777" w:rsidR="00DE70AF" w:rsidRPr="00DE70AF" w:rsidRDefault="00DE70AF" w:rsidP="00DE70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F2120" w14:textId="57BDA143" w:rsidR="00DE70AF" w:rsidRPr="00DE70AF" w:rsidRDefault="00DE70AF" w:rsidP="00DE70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4A0648" wp14:editId="28015F9C">
            <wp:extent cx="5943600" cy="2770505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737" w14:textId="77777777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0FBD15" w14:textId="471E7B58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3DFCE1A" wp14:editId="728A8508">
            <wp:extent cx="5943600" cy="2628900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BF27C08" wp14:editId="2B6DCF4A">
            <wp:extent cx="5943600" cy="2628900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8B1A" w14:textId="0C9C252B" w:rsidR="00DE70AF" w:rsidRPr="00DE70AF" w:rsidRDefault="00DE70AF" w:rsidP="00DE7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08D2EC7" wp14:editId="793BF7BE">
            <wp:extent cx="5943600" cy="1970405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484309" wp14:editId="694179F1">
            <wp:extent cx="5943600" cy="36195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07F6" w14:textId="0223BF6C" w:rsidR="00DE70AF" w:rsidRPr="00DE70AF" w:rsidRDefault="00DE70AF" w:rsidP="00DE70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70AF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64099B2" wp14:editId="69DA98C5">
            <wp:extent cx="5943600" cy="29991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B348" w14:textId="71BFF340" w:rsidR="00DE70AF" w:rsidRDefault="00DE70AF"/>
    <w:p w14:paraId="6BE3E558" w14:textId="5E327123" w:rsidR="0017666F" w:rsidRDefault="0017666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6460E9" wp14:editId="401FF0CD">
            <wp:extent cx="4838700" cy="2264410"/>
            <wp:effectExtent l="0" t="0" r="0" b="254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2ACC" w14:textId="2399F8A2" w:rsidR="0017666F" w:rsidRDefault="0017666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55D282" wp14:editId="2EB3B0D0">
            <wp:extent cx="5943600" cy="2503805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1612" w14:textId="2C604A16" w:rsidR="0017666F" w:rsidRDefault="0017666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7BED99" wp14:editId="57072F38">
            <wp:extent cx="4974590" cy="3020695"/>
            <wp:effectExtent l="0" t="0" r="0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E6DE" w14:textId="7265ED6A" w:rsidR="0017666F" w:rsidRDefault="0017666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530285" wp14:editId="770AA5EE">
            <wp:extent cx="5388610" cy="2258695"/>
            <wp:effectExtent l="0" t="0" r="2540" b="8255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EE26" w14:textId="61E3213F" w:rsidR="0017666F" w:rsidRDefault="0017666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89FF9F" wp14:editId="18A5BD4B">
            <wp:extent cx="5943600" cy="33909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57C2" w14:textId="45A541E3" w:rsidR="00D01F09" w:rsidRDefault="00D01F09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3EDA95" wp14:editId="7D32132A">
            <wp:extent cx="5943600" cy="38100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6CF5" w14:textId="77777777" w:rsidR="00580297" w:rsidRPr="00580297" w:rsidRDefault="00580297" w:rsidP="0058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EB89C" w14:textId="77777777" w:rsidR="00580297" w:rsidRPr="00580297" w:rsidRDefault="00580297" w:rsidP="0058029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80297">
        <w:rPr>
          <w:rFonts w:ascii="Arial" w:eastAsia="Times New Roman" w:hAnsi="Arial" w:cs="Arial"/>
          <w:color w:val="000000"/>
        </w:rPr>
        <w:t xml:space="preserve">The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color w:val="000000"/>
        </w:rPr>
        <w:t xml:space="preserve"> of cassette genes were significantly higher than those of the normal ORFs </w:t>
      </w:r>
    </w:p>
    <w:p w14:paraId="081D2F10" w14:textId="77777777" w:rsidR="00580297" w:rsidRPr="00580297" w:rsidRDefault="00580297" w:rsidP="005802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32BFD" w14:textId="77777777" w:rsidR="00580297" w:rsidRPr="00580297" w:rsidRDefault="00580297" w:rsidP="0058029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80297">
        <w:rPr>
          <w:rFonts w:ascii="Arial" w:eastAsia="Times New Roman" w:hAnsi="Arial" w:cs="Arial"/>
          <w:color w:val="000000"/>
        </w:rPr>
        <w:lastRenderedPageBreak/>
        <w:t xml:space="preserve">Both transposases and cassette genes have significantly higher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color w:val="000000"/>
        </w:rPr>
        <w:t xml:space="preserve"> values compared to non-transposase, non-cassette genes. The median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 xml:space="preserve"> </w:t>
      </w:r>
      <w:r w:rsidRPr="00580297">
        <w:rPr>
          <w:rFonts w:ascii="Arial" w:eastAsia="Times New Roman" w:hAnsi="Arial" w:cs="Arial"/>
          <w:color w:val="000000"/>
        </w:rPr>
        <w:t xml:space="preserve">for normal ORFs is 0.105, 0.176 for transposases, and 0.196 for cassette sequences. Out of 1957 cassette sequences with COG functional category calls, only 528 of them have a ≥ 20 coverage for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color w:val="000000"/>
        </w:rPr>
        <w:t xml:space="preserve"> calculation. From this shrunk sample (we started with 7294 cassette genes), genes belonging to </w:t>
      </w:r>
      <w:proofErr w:type="gramStart"/>
      <w:r w:rsidRPr="00580297">
        <w:rPr>
          <w:rFonts w:ascii="Arial" w:eastAsia="Times New Roman" w:hAnsi="Arial" w:cs="Arial"/>
          <w:color w:val="000000"/>
        </w:rPr>
        <w:t>the  “</w:t>
      </w:r>
      <w:proofErr w:type="gramEnd"/>
      <w:r w:rsidRPr="00580297">
        <w:rPr>
          <w:rFonts w:ascii="Arial" w:eastAsia="Times New Roman" w:hAnsi="Arial" w:cs="Arial"/>
          <w:color w:val="000000"/>
        </w:rPr>
        <w:t xml:space="preserve">defense mechanism” have a significantly lower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 xml:space="preserve"> </w:t>
      </w:r>
      <w:r w:rsidRPr="00580297">
        <w:rPr>
          <w:rFonts w:ascii="Arial" w:eastAsia="Times New Roman" w:hAnsi="Arial" w:cs="Arial"/>
          <w:color w:val="000000"/>
        </w:rPr>
        <w:t xml:space="preserve">ratio compared to genes in other COG functional categories. The cassette median 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pN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>/</w:t>
      </w:r>
      <w:proofErr w:type="spellStart"/>
      <w:r w:rsidRPr="00580297">
        <w:rPr>
          <w:rFonts w:ascii="Arial" w:eastAsia="Times New Roman" w:hAnsi="Arial" w:cs="Arial"/>
          <w:i/>
          <w:iCs/>
          <w:color w:val="000000"/>
        </w:rPr>
        <w:t>pS</w:t>
      </w:r>
      <w:proofErr w:type="spellEnd"/>
      <w:r w:rsidRPr="00580297">
        <w:rPr>
          <w:rFonts w:ascii="Arial" w:eastAsia="Times New Roman" w:hAnsi="Arial" w:cs="Arial"/>
          <w:i/>
          <w:iCs/>
          <w:color w:val="000000"/>
        </w:rPr>
        <w:t xml:space="preserve"> </w:t>
      </w:r>
      <w:r w:rsidRPr="00580297">
        <w:rPr>
          <w:rFonts w:ascii="Arial" w:eastAsia="Times New Roman" w:hAnsi="Arial" w:cs="Arial"/>
          <w:color w:val="000000"/>
        </w:rPr>
        <w:t>for defense mechanisms is 0.0829, 0.143 for other cassette sequences with COG functional calls. </w:t>
      </w:r>
    </w:p>
    <w:p w14:paraId="25C9BD9C" w14:textId="49BD4F2A" w:rsidR="00580297" w:rsidRDefault="00580297"/>
    <w:p w14:paraId="7E92D2C6" w14:textId="61ACF1EF" w:rsidR="004E4355" w:rsidRDefault="004E4355">
      <w:r>
        <w:br w:type="page"/>
      </w:r>
    </w:p>
    <w:p w14:paraId="5AC57F62" w14:textId="77777777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B4C491" w14:textId="1ECBD0F0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355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670F5F" wp14:editId="1D4C9A65">
            <wp:extent cx="5943600" cy="381000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D314" w14:textId="77777777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Figure 7: A. 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pN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pS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</w:t>
      </w:r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ratio of normal, transposase, and cassette genes. B. the 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pN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pS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</w:t>
      </w:r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among cassette genes with identified COG categories: comparing defense mechanism genes to genes belonging to other functional categories. For both graphs, we excluded any 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pN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pS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 xml:space="preserve"> </w:t>
      </w:r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above 10. Observe that cassette genes with COG calls have significantly lower 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pN</w:t>
      </w:r>
      <w:proofErr w:type="spellEnd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4E4355">
        <w:rPr>
          <w:rFonts w:ascii="Arial" w:eastAsia="Times New Roman" w:hAnsi="Arial" w:cs="Arial"/>
          <w:i/>
          <w:iCs/>
          <w:color w:val="000000"/>
          <w:sz w:val="20"/>
          <w:szCs w:val="20"/>
        </w:rPr>
        <w:t>pS</w:t>
      </w:r>
      <w:r w:rsidRPr="004E4355">
        <w:rPr>
          <w:rFonts w:ascii="Arial" w:eastAsia="Times New Roman" w:hAnsi="Arial" w:cs="Arial"/>
          <w:color w:val="000000"/>
          <w:sz w:val="20"/>
          <w:szCs w:val="20"/>
        </w:rPr>
        <w:t>.</w:t>
      </w:r>
      <w:proofErr w:type="spellEnd"/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 Thus, the defense mechanism is only compared to other cassette genes with COG </w:t>
      </w:r>
      <w:proofErr w:type="gramStart"/>
      <w:r w:rsidRPr="004E4355">
        <w:rPr>
          <w:rFonts w:ascii="Arial" w:eastAsia="Times New Roman" w:hAnsi="Arial" w:cs="Arial"/>
          <w:color w:val="000000"/>
          <w:sz w:val="20"/>
          <w:szCs w:val="20"/>
        </w:rPr>
        <w:t>calls  (</w:t>
      </w:r>
      <w:proofErr w:type="gramEnd"/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as opposed to all 1276 cassette genes with </w:t>
      </w:r>
      <w:proofErr w:type="spellStart"/>
      <w:r w:rsidRPr="004E4355">
        <w:rPr>
          <w:rFonts w:ascii="Arial" w:eastAsia="Times New Roman" w:hAnsi="Arial" w:cs="Arial"/>
          <w:color w:val="000000"/>
          <w:sz w:val="20"/>
          <w:szCs w:val="20"/>
        </w:rPr>
        <w:t>pNpS</w:t>
      </w:r>
      <w:proofErr w:type="spellEnd"/>
      <w:r w:rsidRPr="004E4355">
        <w:rPr>
          <w:rFonts w:ascii="Arial" w:eastAsia="Times New Roman" w:hAnsi="Arial" w:cs="Arial"/>
          <w:color w:val="000000"/>
          <w:sz w:val="20"/>
          <w:szCs w:val="20"/>
        </w:rPr>
        <w:t>).</w:t>
      </w:r>
      <w:r w:rsidRPr="004E4355">
        <w:rPr>
          <w:rFonts w:ascii="Arial" w:eastAsia="Times New Roman" w:hAnsi="Arial" w:cs="Arial"/>
          <w:color w:val="000000"/>
          <w:sz w:val="20"/>
          <w:szCs w:val="20"/>
        </w:rPr>
        <w:tab/>
      </w:r>
    </w:p>
    <w:p w14:paraId="25DF8F64" w14:textId="77777777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8CC31A" w14:textId="77777777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355">
        <w:rPr>
          <w:rFonts w:ascii="Arial" w:eastAsia="Times New Roman" w:hAnsi="Arial" w:cs="Arial"/>
          <w:color w:val="000000"/>
          <w:sz w:val="20"/>
          <w:szCs w:val="20"/>
        </w:rPr>
        <w:t xml:space="preserve">Figure 6. The expression rate of biofilm and defense mechanism genes, separated by depth. The expression rate is calculated by </w:t>
      </w:r>
      <w:proofErr w:type="gramStart"/>
      <w:r w:rsidRPr="004E4355">
        <w:rPr>
          <w:rFonts w:ascii="Arial" w:eastAsia="Times New Roman" w:hAnsi="Arial" w:cs="Arial"/>
          <w:color w:val="000000"/>
          <w:sz w:val="20"/>
          <w:szCs w:val="20"/>
        </w:rPr>
        <w:t>log(</w:t>
      </w:r>
      <w:proofErr w:type="gramEnd"/>
      <w:r w:rsidRPr="004E4355">
        <w:rPr>
          <w:rFonts w:ascii="Arial" w:eastAsia="Times New Roman" w:hAnsi="Arial" w:cs="Arial"/>
          <w:color w:val="000000"/>
          <w:sz w:val="20"/>
          <w:szCs w:val="20"/>
        </w:rPr>
        <w:t>Normalized RNA Abundance / DNA). For both categories of genes, the expression rate in the mesopelagic zone is significantly higher than these in surface and deep chlorophyll maximum. </w:t>
      </w:r>
    </w:p>
    <w:p w14:paraId="0F2572C6" w14:textId="77777777" w:rsidR="004E4355" w:rsidRPr="004E4355" w:rsidRDefault="004E4355" w:rsidP="004E4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355">
        <w:rPr>
          <w:rFonts w:ascii="Arial" w:eastAsia="Times New Roman" w:hAnsi="Arial" w:cs="Arial"/>
          <w:color w:val="000000"/>
        </w:rPr>
        <w:t>The expression rate of biofilms and defense mechanisms are higher in the mesopelagic zone.</w:t>
      </w:r>
    </w:p>
    <w:p w14:paraId="42CA4F57" w14:textId="05B54390" w:rsidR="004E4355" w:rsidRDefault="004E4355"/>
    <w:p w14:paraId="15ED8FA8" w14:textId="55ACD72D" w:rsidR="0014254F" w:rsidRDefault="0014254F"/>
    <w:p w14:paraId="232DB209" w14:textId="62174844" w:rsidR="0014254F" w:rsidRPr="0014254F" w:rsidRDefault="0014254F" w:rsidP="00142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254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21C920" wp14:editId="49B5E4CC">
            <wp:extent cx="4762500" cy="2580005"/>
            <wp:effectExtent l="0" t="0" r="0" b="0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BBD8" w14:textId="77777777" w:rsidR="0014254F" w:rsidRPr="0014254F" w:rsidRDefault="0014254F" w:rsidP="00142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54F">
        <w:rPr>
          <w:rFonts w:ascii="Arial" w:eastAsia="Times New Roman" w:hAnsi="Arial" w:cs="Arial"/>
          <w:color w:val="000000"/>
        </w:rPr>
        <w:t xml:space="preserve">Supplementary 5: particle-attached bins are more enriched in transposases and defense mechanisms genes in </w:t>
      </w:r>
      <w:proofErr w:type="spellStart"/>
      <w:r w:rsidRPr="0014254F">
        <w:rPr>
          <w:rFonts w:ascii="Arial" w:eastAsia="Times New Roman" w:hAnsi="Arial" w:cs="Arial"/>
          <w:color w:val="000000"/>
        </w:rPr>
        <w:t>malaspina</w:t>
      </w:r>
      <w:proofErr w:type="spellEnd"/>
      <w:r w:rsidRPr="0014254F">
        <w:rPr>
          <w:rFonts w:ascii="Arial" w:eastAsia="Times New Roman" w:hAnsi="Arial" w:cs="Arial"/>
          <w:color w:val="000000"/>
        </w:rPr>
        <w:t xml:space="preserve"> bins. Particle-attached microbes and mixed, both have significantly higher proportion of defense mechanisms genes compared to free-living microbes. </w:t>
      </w:r>
    </w:p>
    <w:p w14:paraId="2F1A0644" w14:textId="77777777" w:rsidR="0014254F" w:rsidRPr="0014254F" w:rsidRDefault="0014254F" w:rsidP="00142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F2C68" w14:textId="77777777" w:rsidR="0014254F" w:rsidRPr="0014254F" w:rsidRDefault="0014254F" w:rsidP="00142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54F">
        <w:rPr>
          <w:rFonts w:ascii="Arial" w:eastAsia="Times New Roman" w:hAnsi="Arial" w:cs="Arial"/>
          <w:color w:val="000000"/>
        </w:rPr>
        <w:t>A Free-living bin = its abundance is 10 times higher in 0.2-0.8μm than in 0.8-20μm samples </w:t>
      </w:r>
    </w:p>
    <w:p w14:paraId="0807531F" w14:textId="77777777" w:rsidR="0014254F" w:rsidRPr="0014254F" w:rsidRDefault="0014254F" w:rsidP="00142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54F">
        <w:rPr>
          <w:rFonts w:ascii="Arial" w:eastAsia="Times New Roman" w:hAnsi="Arial" w:cs="Arial"/>
          <w:color w:val="000000"/>
        </w:rPr>
        <w:t>A particle-attached bin = its abundance is 2 times higher in 0.8-20μm samples</w:t>
      </w:r>
    </w:p>
    <w:p w14:paraId="1C0C8EBA" w14:textId="77777777" w:rsidR="0014254F" w:rsidRPr="0014254F" w:rsidRDefault="0014254F" w:rsidP="00142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54F">
        <w:rPr>
          <w:rFonts w:ascii="Arial" w:eastAsia="Times New Roman" w:hAnsi="Arial" w:cs="Arial"/>
          <w:color w:val="000000"/>
        </w:rPr>
        <w:t xml:space="preserve">A mix bin = 0.8-20μm abundance between 0.5 to 10 </w:t>
      </w:r>
      <w:proofErr w:type="gramStart"/>
      <w:r w:rsidRPr="0014254F">
        <w:rPr>
          <w:rFonts w:ascii="Arial" w:eastAsia="Times New Roman" w:hAnsi="Arial" w:cs="Arial"/>
          <w:color w:val="000000"/>
        </w:rPr>
        <w:t>folder</w:t>
      </w:r>
      <w:proofErr w:type="gramEnd"/>
      <w:r w:rsidRPr="0014254F">
        <w:rPr>
          <w:rFonts w:ascii="Arial" w:eastAsia="Times New Roman" w:hAnsi="Arial" w:cs="Arial"/>
          <w:color w:val="000000"/>
        </w:rPr>
        <w:t xml:space="preserve"> compared to the 0.2-0.8μm samples</w:t>
      </w:r>
    </w:p>
    <w:p w14:paraId="62C7CD8F" w14:textId="77777777" w:rsidR="0014254F" w:rsidRDefault="0014254F"/>
    <w:sectPr w:rsidR="00142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9C7"/>
    <w:rsid w:val="0014254F"/>
    <w:rsid w:val="0017666F"/>
    <w:rsid w:val="004E4355"/>
    <w:rsid w:val="00580297"/>
    <w:rsid w:val="009239AA"/>
    <w:rsid w:val="0097619C"/>
    <w:rsid w:val="00C35219"/>
    <w:rsid w:val="00D01F09"/>
    <w:rsid w:val="00D719C7"/>
    <w:rsid w:val="00DE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A630A"/>
  <w15:chartTrackingRefBased/>
  <w15:docId w15:val="{AE308B32-AF19-47CE-96B2-F41D8B0E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7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E70AF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DE7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academic.oup.com/nar/article/44/10/4539/2516972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4448</TotalTime>
  <Pages>13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Zhong</dc:creator>
  <cp:keywords/>
  <dc:description/>
  <cp:lastModifiedBy>Jimmy Zhong</cp:lastModifiedBy>
  <cp:revision>4</cp:revision>
  <dcterms:created xsi:type="dcterms:W3CDTF">2021-09-04T04:46:00Z</dcterms:created>
  <dcterms:modified xsi:type="dcterms:W3CDTF">2021-09-07T17:21:00Z</dcterms:modified>
</cp:coreProperties>
</file>