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64" w:lineRule="auto"/>
        <w:jc w:val="center"/>
      </w:pPr>
      <w:r>
        <w:rPr>
          <w:rFonts w:ascii="Calibri" w:hAnsi="Calibri" w:eastAsia="Microsoft YaHei"/>
          <w:b/>
          <w:i w:val="0"/>
          <w:color w:val="5A5A5A"/>
          <w:sz w:val="24"/>
        </w:rPr>
        <w:t>研究复现报告</w:t>
      </w:r>
    </w:p>
    <w:p>
      <w:pPr>
        <w:spacing w:before="0" w:after="80" w:line="276" w:lineRule="auto"/>
        <w:jc w:val="center"/>
      </w:pPr>
      <w:r>
        <w:rPr>
          <w:rFonts w:ascii="Calibri" w:hAnsi="Calibri" w:eastAsia="Microsoft YaHei"/>
          <w:b/>
          <w:i w:val="0"/>
          <w:sz w:val="38"/>
        </w:rPr>
        <w:t>解耦学习与因果嵌入的推荐系统去偏方法</w:t>
      </w:r>
    </w:p>
    <w:p>
      <w:pPr>
        <w:spacing w:before="0" w:after="200" w:line="276" w:lineRule="auto"/>
        <w:jc w:val="center"/>
      </w:pPr>
      <w:r>
        <w:rPr>
          <w:rFonts w:ascii="Calibri" w:hAnsi="Calibri" w:eastAsia="Microsoft YaHei"/>
          <w:b/>
          <w:i w:val="0"/>
          <w:sz w:val="38"/>
        </w:rPr>
        <w:t>研究复现报告</w:t>
      </w:r>
    </w:p>
    <w:p>
      <w:pPr>
        <w:spacing w:before="0" w:after="320" w:line="264" w:lineRule="auto"/>
        <w:jc w:val="center"/>
      </w:pPr>
      <w:r>
        <w:rPr>
          <w:rFonts w:ascii="Calibri" w:hAnsi="Calibri" w:eastAsia="Microsoft YaHei"/>
          <w:b w:val="0"/>
          <w:i w:val="0"/>
          <w:color w:val="5A5A5A"/>
          <w:sz w:val="26"/>
        </w:rPr>
        <w:t>副标题：基于 DICE 的三星复现与 NeuMF/NGCF/VAE 四星扩展实验</w:t>
      </w:r>
    </w:p>
    <w:p>
      <w:pPr>
        <w:spacing w:before="0" w:after="40" w:line="264" w:lineRule="auto"/>
        <w:jc w:val="center"/>
      </w:pPr>
      <w:r>
        <w:rPr>
          <w:rFonts w:ascii="Calibri" w:hAnsi="Calibri" w:eastAsia="Microsoft YaHei"/>
          <w:b w:val="0"/>
          <w:i w:val="0"/>
          <w:sz w:val="21"/>
        </w:rPr>
        <w:t>课程：智能商务</w:t>
      </w:r>
    </w:p>
    <w:p>
      <w:pPr>
        <w:spacing w:before="0" w:after="40" w:line="264" w:lineRule="auto"/>
        <w:jc w:val="center"/>
      </w:pPr>
      <w:r>
        <w:rPr>
          <w:rFonts w:ascii="Calibri" w:hAnsi="Calibri" w:eastAsia="Microsoft YaHei"/>
          <w:b w:val="0"/>
          <w:i w:val="0"/>
          <w:sz w:val="21"/>
        </w:rPr>
        <w:t>论文：Disentangling User Interest and Conformity for Recommendation with Causal Embedding, WWW 2021</w:t>
      </w:r>
    </w:p>
    <w:p>
      <w:pPr>
        <w:spacing w:before="0" w:after="40" w:line="264" w:lineRule="auto"/>
        <w:jc w:val="center"/>
      </w:pPr>
      <w:r>
        <w:rPr>
          <w:rFonts w:ascii="Calibri" w:hAnsi="Calibri" w:eastAsia="Microsoft YaHei"/>
          <w:b w:val="0"/>
          <w:i w:val="0"/>
          <w:sz w:val="21"/>
        </w:rPr>
        <w:t>代码仓库：https://github.com/tsinghua-fib-lab/DICE</w:t>
      </w:r>
    </w:p>
    <w:p>
      <w:pPr>
        <w:spacing w:before="0" w:after="40" w:line="264" w:lineRule="auto"/>
        <w:jc w:val="center"/>
      </w:pPr>
      <w:r>
        <w:rPr>
          <w:rFonts w:ascii="Calibri" w:hAnsi="Calibri" w:eastAsia="Microsoft YaHei"/>
          <w:b w:val="0"/>
          <w:i w:val="0"/>
          <w:sz w:val="21"/>
        </w:rPr>
        <w:t>完成时间：2026 年 6 月</w:t>
      </w:r>
    </w:p>
    <w:p>
      <w:pPr>
        <w:spacing w:before="360" w:after="240" w:line="264" w:lineRule="auto"/>
        <w:jc w:val="center"/>
      </w:pPr>
      <w:r>
        <w:rPr>
          <w:rFonts w:ascii="Calibri" w:hAnsi="Calibri" w:eastAsia="Microsoft YaHei"/>
          <w:b w:val="0"/>
          <w:i w:val="0"/>
          <w:sz w:val="22"/>
        </w:rPr>
        <w:t>学生姓名：__________    学号：__________    班级：__________</w:t>
      </w:r>
    </w:p>
    <w:p>
      <w:r>
        <w:br w:type="page"/>
      </w:r>
    </w:p>
    <w:p>
      <w:pPr>
        <w:pStyle w:val="Heading1"/>
        <w:keepNext/>
      </w:pPr>
      <w:r>
        <w:rPr>
          <w:rFonts w:ascii="Calibri" w:hAnsi="Calibri" w:eastAsia="Microsoft YaHei"/>
          <w:b/>
          <w:color w:val="2E74B5"/>
          <w:sz w:val="32"/>
        </w:rPr>
        <w:t>摘要</w:t>
      </w:r>
    </w:p>
    <w:p>
      <w:pPr>
        <w:spacing w:after="120" w:line="264" w:lineRule="auto"/>
      </w:pPr>
      <w:r>
        <w:rPr>
          <w:rFonts w:ascii="Calibri" w:hAnsi="Calibri" w:eastAsia="Microsoft YaHei"/>
          <w:b w:val="0"/>
          <w:sz w:val="22"/>
        </w:rPr>
        <w:t>本文围绕 WWW 2021 论文 *Disentangling User Interest and Conformity for Recommendation with Causal Embedding* 展开研究复现与扩展。原论文针对推荐系统中的流行度偏差问题，提出 DICE 方法，将用户交互行为中的内在兴趣 interest 与从众行为 conformity 进行因果解耦，并通过成对学习目标降低模型对热门物品的依赖。</w:t>
      </w:r>
    </w:p>
    <w:p>
      <w:pPr>
        <w:spacing w:after="120" w:line="264" w:lineRule="auto"/>
      </w:pPr>
      <w:r>
        <w:rPr>
          <w:rFonts w:ascii="Calibri" w:hAnsi="Calibri" w:eastAsia="Microsoft YaHei"/>
          <w:b w:val="0"/>
          <w:sz w:val="22"/>
        </w:rPr>
        <w:t>本项目首先完成三星要求中的数据构造与偏置测试集复现，围绕 Longtail、Uniform、Head 三类测试分布建立可复现实验框架；随后按照四星要求，将基础推荐模型从原始矩阵分解/LightGCN 扩展到 NeuMF、NGCF 和 VAE 三类新 backbone。实验结果表明，DICE 的去偏思想能够迁移到神经协同过滤、图协同过滤和潜变量生成式推荐模型上，尤其在长尾测试分布中表现出稳定收益：NeuMF-DICE 在 Longtail 上相对 NeuMF 有小幅提升，NGCF-DICE 在 Longtail 上相对 NGCF 的 Recall@20 提升约 27.0%，NDCG@20 提升约 29.7%；VAE-DICE 在 Longtail 上相对 VAE 的 Recall@20 从 0.1136 提升到 0.1664，NDCG@20 从 0.0730 提升到 0.1120。</w:t>
      </w:r>
    </w:p>
    <w:p>
      <w:pPr>
        <w:spacing w:after="120" w:line="264" w:lineRule="auto"/>
      </w:pPr>
      <w:r>
        <w:rPr>
          <w:rFonts w:ascii="Calibri" w:hAnsi="Calibri" w:eastAsia="Microsoft YaHei"/>
          <w:b w:val="0"/>
          <w:sz w:val="22"/>
        </w:rPr>
        <w:t>同时，实验也显示 DICE 并非追求所有测试分布上的准确率全面提升。在 Uniform 和 Head 测试分布中，去偏模型通常低于原始模型，说明削弱热门物品从众信号会带来准确率-去偏效果之间的权衡。本文进一步通过 NeuMF-DICE 的四组消融实验和 AvgPop、Coverage 等指标分析了 adaptive 训练与解耦强度对结果的影响。综合来看，本项目已经完成三类 backbone、27 组主实验、4 组消融实验和偏置指标分析，满足并强化了四星复现要求，可作为解耦学习与推荐系统去偏方法的完整课程复现案例。</w:t>
      </w:r>
    </w:p>
    <w:p>
      <w:pPr>
        <w:spacing w:after="120" w:line="264" w:lineRule="auto"/>
      </w:pPr>
      <w:r>
        <w:rPr>
          <w:rFonts w:ascii="Calibri" w:hAnsi="Calibri" w:eastAsia="Microsoft YaHei"/>
          <w:b/>
          <w:sz w:val="22"/>
        </w:rPr>
        <w:t>关键词：</w:t>
      </w:r>
      <w:r>
        <w:rPr>
          <w:rFonts w:ascii="Calibri" w:hAnsi="Calibri" w:eastAsia="Microsoft YaHei"/>
          <w:b w:val="0"/>
          <w:sz w:val="22"/>
        </w:rPr>
        <w:t xml:space="preserve"> 推荐系统；流行度偏差；解耦学习；因果嵌入；DICE；NeuMF；NGCF；VAE</w:t>
      </w:r>
    </w:p>
    <w:p>
      <w:pPr>
        <w:pStyle w:val="Heading1"/>
        <w:keepNext/>
      </w:pPr>
      <w:r>
        <w:rPr>
          <w:rFonts w:ascii="Calibri" w:hAnsi="Calibri" w:eastAsia="Microsoft YaHei"/>
          <w:b/>
          <w:color w:val="2E74B5"/>
          <w:sz w:val="32"/>
        </w:rPr>
        <w:t>1. 研究背景与复现目标</w:t>
      </w:r>
    </w:p>
    <w:p>
      <w:pPr>
        <w:pStyle w:val="Heading2"/>
        <w:keepNext/>
      </w:pPr>
      <w:r>
        <w:rPr>
          <w:rFonts w:ascii="Calibri" w:hAnsi="Calibri" w:eastAsia="Microsoft YaHei"/>
          <w:b/>
          <w:color w:val="2E74B5"/>
          <w:sz w:val="26"/>
        </w:rPr>
        <w:t>1.1 研究背景</w:t>
      </w:r>
    </w:p>
    <w:p>
      <w:pPr>
        <w:spacing w:after="120" w:line="264" w:lineRule="auto"/>
      </w:pPr>
      <w:r>
        <w:rPr>
          <w:rFonts w:ascii="Calibri" w:hAnsi="Calibri" w:eastAsia="Microsoft YaHei"/>
          <w:b w:val="0"/>
          <w:sz w:val="22"/>
        </w:rPr>
        <w:t>推荐系统通常基于历史交互数据学习用户偏好，但真实交互并不只反映用户的内在兴趣。热门物品由于曝光更多、社会认同更强，往往更容易被点击、评分或购买，从而在训练数据中被进一步强化。这种流行度偏差会导致模型过度推荐头部物品，削弱长尾物品的曝光机会，也使推荐结果更难反映用户真实偏好。</w:t>
      </w:r>
    </w:p>
    <w:p>
      <w:pPr>
        <w:spacing w:after="120" w:line="264" w:lineRule="auto"/>
      </w:pPr>
      <w:r>
        <w:rPr>
          <w:rFonts w:ascii="Calibri" w:hAnsi="Calibri" w:eastAsia="Microsoft YaHei"/>
          <w:b w:val="0"/>
          <w:sz w:val="22"/>
        </w:rPr>
        <w:t>DICE 论文的核心价值在于，它没有简单地把流行度当作一个需要删除的噪声变量，而是把用户行为拆解为 interest 和 conformity 两种因素：前者表示用户真实兴趣，后者表示用户受到热门趋势影响后的从众行为。通过因果嵌入和解耦学习，模型尝试让推荐排序更多依赖 interest 分支，而不是盲目迎合热门物品。</w:t>
      </w:r>
    </w:p>
    <w:p>
      <w:pPr>
        <w:pStyle w:val="Heading2"/>
        <w:keepNext/>
      </w:pPr>
      <w:r>
        <w:rPr>
          <w:rFonts w:ascii="Calibri" w:hAnsi="Calibri" w:eastAsia="Microsoft YaHei"/>
          <w:b/>
          <w:color w:val="2E74B5"/>
          <w:sz w:val="26"/>
        </w:rPr>
        <w:t>1.2 评分标准对应关系</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E8EEF5"/>
          </w:tcPr>
          <w:p>
            <w:pPr>
              <w:spacing w:before="0" w:after="0" w:line="252" w:lineRule="auto"/>
              <w:jc w:val="center"/>
            </w:pPr>
            <w:r/>
            <w:r>
              <w:rPr>
                <w:rFonts w:ascii="Calibri" w:hAnsi="Calibri" w:eastAsia="Microsoft YaHei"/>
                <w:b/>
                <w:sz w:val="17"/>
              </w:rPr>
              <w:t>星级</w:t>
            </w:r>
          </w:p>
        </w:tc>
        <w:tc>
          <w:tcPr>
            <w:tcW w:type="dxa" w:w="3120"/>
            <w:vAlign w:val="center"/>
            <w:shd w:fill="E8EEF5"/>
          </w:tcPr>
          <w:p>
            <w:pPr>
              <w:spacing w:before="0" w:after="0" w:line="252" w:lineRule="auto"/>
              <w:jc w:val="center"/>
            </w:pPr>
            <w:r/>
            <w:r>
              <w:rPr>
                <w:rFonts w:ascii="Calibri" w:hAnsi="Calibri" w:eastAsia="Microsoft YaHei"/>
                <w:b/>
                <w:sz w:val="17"/>
              </w:rPr>
              <w:t>评分要求</w:t>
            </w:r>
          </w:p>
        </w:tc>
        <w:tc>
          <w:tcPr>
            <w:tcW w:type="dxa" w:w="3120"/>
            <w:vAlign w:val="center"/>
            <w:shd w:fill="E8EEF5"/>
          </w:tcPr>
          <w:p>
            <w:pPr>
              <w:spacing w:before="0" w:after="0" w:line="252" w:lineRule="auto"/>
              <w:jc w:val="center"/>
            </w:pPr>
            <w:r/>
            <w:r>
              <w:rPr>
                <w:rFonts w:ascii="Calibri" w:hAnsi="Calibri" w:eastAsia="Microsoft YaHei"/>
                <w:b/>
                <w:sz w:val="17"/>
              </w:rPr>
              <w:t>本项目完成情况</w:t>
            </w:r>
          </w:p>
        </w:tc>
      </w:tr>
      <w:tr>
        <w:tc>
          <w:tcPr>
            <w:tcW w:type="dxa" w:w="3120"/>
            <w:vAlign w:val="center"/>
          </w:tcPr>
          <w:p>
            <w:pPr>
              <w:spacing w:before="0" w:after="0" w:line="252" w:lineRule="auto"/>
              <w:jc w:val="center"/>
            </w:pPr>
            <w:r/>
            <w:r>
              <w:rPr>
                <w:rFonts w:ascii="Calibri" w:hAnsi="Calibri" w:eastAsia="Microsoft YaHei"/>
                <w:b w:val="0"/>
                <w:sz w:val="16"/>
              </w:rPr>
              <w:t>三星</w:t>
            </w:r>
          </w:p>
        </w:tc>
        <w:tc>
          <w:tcPr>
            <w:tcW w:type="dxa" w:w="3120"/>
            <w:vAlign w:val="center"/>
          </w:tcPr>
          <w:p>
            <w:pPr>
              <w:spacing w:before="0" w:after="0" w:line="252" w:lineRule="auto"/>
              <w:jc w:val="left"/>
            </w:pPr>
            <w:r/>
            <w:r>
              <w:rPr>
                <w:rFonts w:ascii="Calibri" w:hAnsi="Calibri" w:eastAsia="Microsoft YaHei"/>
                <w:b w:val="0"/>
                <w:sz w:val="16"/>
              </w:rPr>
              <w:t>复现论文 4.3.2 和 4.5 中调整测试集、训练集构造策略后的实验结果。</w:t>
            </w:r>
          </w:p>
        </w:tc>
        <w:tc>
          <w:tcPr>
            <w:tcW w:type="dxa" w:w="3120"/>
            <w:vAlign w:val="center"/>
          </w:tcPr>
          <w:p>
            <w:pPr>
              <w:spacing w:before="0" w:after="0" w:line="252" w:lineRule="auto"/>
              <w:jc w:val="left"/>
            </w:pPr>
            <w:r/>
            <w:r>
              <w:rPr>
                <w:rFonts w:ascii="Calibri" w:hAnsi="Calibri" w:eastAsia="Microsoft YaHei"/>
                <w:b w:val="0"/>
                <w:sz w:val="16"/>
              </w:rPr>
              <w:t>已构造 Longtail、Uniform、Head 三类 DICE 兼容数据划分，并完成基础复现实验。</w:t>
            </w:r>
          </w:p>
        </w:tc>
      </w:tr>
      <w:tr>
        <w:tc>
          <w:tcPr>
            <w:tcW w:type="dxa" w:w="3120"/>
            <w:vAlign w:val="center"/>
          </w:tcPr>
          <w:p>
            <w:pPr>
              <w:spacing w:before="0" w:after="0" w:line="252" w:lineRule="auto"/>
              <w:jc w:val="center"/>
            </w:pPr>
            <w:r/>
            <w:r>
              <w:rPr>
                <w:rFonts w:ascii="Calibri" w:hAnsi="Calibri" w:eastAsia="Microsoft YaHei"/>
                <w:b w:val="0"/>
                <w:sz w:val="16"/>
              </w:rPr>
              <w:t>四星</w:t>
            </w:r>
          </w:p>
        </w:tc>
        <w:tc>
          <w:tcPr>
            <w:tcW w:type="dxa" w:w="3120"/>
            <w:vAlign w:val="center"/>
          </w:tcPr>
          <w:p>
            <w:pPr>
              <w:spacing w:before="0" w:after="0" w:line="252" w:lineRule="auto"/>
              <w:jc w:val="left"/>
            </w:pPr>
            <w:r/>
            <w:r>
              <w:rPr>
                <w:rFonts w:ascii="Calibri" w:hAnsi="Calibri" w:eastAsia="Microsoft YaHei"/>
                <w:b w:val="0"/>
                <w:sz w:val="16"/>
              </w:rPr>
              <w:t>将基础模型替换为其他推荐模型，如 NeuMF、NGCF、VAE，并验证去偏方法是否仍有效。</w:t>
            </w:r>
          </w:p>
        </w:tc>
        <w:tc>
          <w:tcPr>
            <w:tcW w:type="dxa" w:w="3120"/>
            <w:vAlign w:val="center"/>
          </w:tcPr>
          <w:p>
            <w:pPr>
              <w:spacing w:before="0" w:after="0" w:line="252" w:lineRule="auto"/>
              <w:jc w:val="left"/>
            </w:pPr>
            <w:r/>
            <w:r>
              <w:rPr>
                <w:rFonts w:ascii="Calibri" w:hAnsi="Calibri" w:eastAsia="Microsoft YaHei"/>
                <w:b w:val="0"/>
                <w:sz w:val="16"/>
              </w:rPr>
              <w:t>已实现 NeuMF-DICE、NGCF-DICE 与 VAE-DICE，三类 backbone 均完成 3×3 主实验。</w:t>
            </w:r>
          </w:p>
        </w:tc>
      </w:tr>
      <w:tr>
        <w:tc>
          <w:tcPr>
            <w:tcW w:type="dxa" w:w="3120"/>
            <w:vAlign w:val="center"/>
          </w:tcPr>
          <w:p>
            <w:pPr>
              <w:spacing w:before="0" w:after="0" w:line="252" w:lineRule="auto"/>
              <w:jc w:val="center"/>
            </w:pPr>
            <w:r/>
            <w:r>
              <w:rPr>
                <w:rFonts w:ascii="Calibri" w:hAnsi="Calibri" w:eastAsia="Microsoft YaHei"/>
                <w:b w:val="0"/>
                <w:sz w:val="16"/>
              </w:rPr>
              <w:t>增强项</w:t>
            </w:r>
          </w:p>
        </w:tc>
        <w:tc>
          <w:tcPr>
            <w:tcW w:type="dxa" w:w="3120"/>
            <w:vAlign w:val="center"/>
          </w:tcPr>
          <w:p>
            <w:pPr>
              <w:spacing w:before="0" w:after="0" w:line="252" w:lineRule="auto"/>
              <w:jc w:val="left"/>
            </w:pPr>
            <w:r/>
            <w:r>
              <w:rPr>
                <w:rFonts w:ascii="Calibri" w:hAnsi="Calibri" w:eastAsia="Microsoft YaHei"/>
                <w:b w:val="0"/>
                <w:sz w:val="16"/>
              </w:rPr>
              <w:t>在结果基础上进行机制分析、消融和去偏指标解释。</w:t>
            </w:r>
          </w:p>
        </w:tc>
        <w:tc>
          <w:tcPr>
            <w:tcW w:type="dxa" w:w="3120"/>
            <w:vAlign w:val="center"/>
          </w:tcPr>
          <w:p>
            <w:pPr>
              <w:spacing w:before="0" w:after="0" w:line="252" w:lineRule="auto"/>
              <w:jc w:val="left"/>
            </w:pPr>
            <w:r/>
            <w:r>
              <w:rPr>
                <w:rFonts w:ascii="Calibri" w:hAnsi="Calibri" w:eastAsia="Microsoft YaHei"/>
                <w:b w:val="0"/>
                <w:sz w:val="16"/>
              </w:rPr>
              <w:t>完成 NeuMF-DICE 四组消融，并计算 AvgPop、LongTailRatio、Coverage 等指标。</w:t>
            </w:r>
          </w:p>
        </w:tc>
      </w:tr>
    </w:tbl>
    <w:p>
      <w:pPr>
        <w:spacing w:before="0" w:after="40" w:line="264" w:lineRule="auto"/>
      </w:pPr>
      <w:r>
        <w:rPr>
          <w:rFonts w:ascii="Calibri" w:hAnsi="Calibri" w:eastAsia="Microsoft YaHei"/>
          <w:b w:val="0"/>
          <w:i w:val="0"/>
          <w:sz w:val="22"/>
        </w:rPr>
      </w:r>
    </w:p>
    <w:p>
      <w:pPr>
        <w:spacing w:after="120" w:line="264" w:lineRule="auto"/>
      </w:pPr>
      <w:r>
        <w:rPr>
          <w:rFonts w:ascii="Calibri" w:hAnsi="Calibri" w:eastAsia="Microsoft YaHei"/>
          <w:b w:val="0"/>
          <w:sz w:val="22"/>
        </w:rPr>
        <w:t>因此，本报告的目标不是只复述一次官方代码运行结果，而是围绕“DICE 去偏思想是否能迁移到其他推荐模型”建立完整的实验链条：先复现偏置测试集，再替换 backbone，最后解释准确率和去偏效果之间的权衡。</w:t>
      </w:r>
    </w:p>
    <w:p>
      <w:pPr>
        <w:pStyle w:val="Heading1"/>
        <w:keepNext/>
      </w:pPr>
      <w:r>
        <w:rPr>
          <w:rFonts w:ascii="Calibri" w:hAnsi="Calibri" w:eastAsia="Microsoft YaHei"/>
          <w:b/>
          <w:color w:val="2E74B5"/>
          <w:sz w:val="32"/>
        </w:rPr>
        <w:t>2. 论文方法与技术路线</w:t>
      </w:r>
    </w:p>
    <w:p>
      <w:pPr>
        <w:pStyle w:val="Heading2"/>
        <w:keepNext/>
      </w:pPr>
      <w:r>
        <w:rPr>
          <w:rFonts w:ascii="Calibri" w:hAnsi="Calibri" w:eastAsia="Microsoft YaHei"/>
          <w:b/>
          <w:color w:val="2E74B5"/>
          <w:sz w:val="26"/>
        </w:rPr>
        <w:t>2.1 DICE 的基本思想</w:t>
      </w:r>
    </w:p>
    <w:p>
      <w:pPr>
        <w:spacing w:after="120" w:line="264" w:lineRule="auto"/>
      </w:pPr>
      <w:r>
        <w:rPr>
          <w:rFonts w:ascii="Calibri" w:hAnsi="Calibri" w:eastAsia="Microsoft YaHei"/>
          <w:b w:val="0"/>
          <w:sz w:val="22"/>
        </w:rPr>
        <w:t>DICE 假设用户对物品的交互由两类因素共同造成：一类是用户自身的兴趣，另一类是用户对流行物品的从众倾向。传统矩阵分解或协同过滤模型往往把这两类因素混合到同一个用户向量和物品向量中，导致模型很难区分“用户确实喜欢该物品”和“用户只是受到热门趋势影响”。</w:t>
      </w:r>
    </w:p>
    <w:p>
      <w:pPr>
        <w:spacing w:after="120" w:line="264" w:lineRule="auto"/>
      </w:pPr>
      <w:r>
        <w:rPr>
          <w:rFonts w:ascii="Calibri" w:hAnsi="Calibri" w:eastAsia="Microsoft YaHei"/>
          <w:b w:val="0"/>
          <w:sz w:val="22"/>
        </w:rPr>
        <w:t>DICE 的做法是分别学习 interest embedding 与 conformity embedding，并设计成对学习目标，使兴趣分支更关注真实偏好，使从众分支吸收流行度相关影响。训练阶段还引入自适应策略，使不同目标在训练过程中逐步发挥作用。</w:t>
      </w:r>
    </w:p>
    <w:p>
      <w:pPr>
        <w:pStyle w:val="Heading2"/>
        <w:keepNext/>
      </w:pPr>
      <w:r>
        <w:rPr>
          <w:rFonts w:ascii="Calibri" w:hAnsi="Calibri" w:eastAsia="Microsoft YaHei"/>
          <w:b/>
          <w:color w:val="2E74B5"/>
          <w:sz w:val="26"/>
        </w:rPr>
        <w:t>2.2 本项目技术路线</w:t>
      </w:r>
    </w:p>
    <w:p>
      <w:pPr>
        <w:pStyle w:val="ListNumber"/>
        <w:spacing w:after="80"/>
      </w:pPr>
      <w:r>
        <w:rPr>
          <w:rFonts w:ascii="Calibri" w:hAnsi="Calibri" w:eastAsia="Microsoft YaHei"/>
          <w:sz w:val="21"/>
        </w:rPr>
        <w:t>读取并修正官方 DICE 代码，使其能够在当前环境中稳定运行。</w:t>
      </w:r>
    </w:p>
    <w:p>
      <w:pPr>
        <w:pStyle w:val="ListNumber"/>
        <w:spacing w:after="80"/>
      </w:pPr>
      <w:r>
        <w:rPr>
          <w:rFonts w:ascii="Calibri" w:hAnsi="Calibri" w:eastAsia="Microsoft YaHei"/>
          <w:sz w:val="21"/>
        </w:rPr>
        <w:t>根据评分标准要求构造 Longtail、Uniform、Head 三类测试分布，形成三星复现基础。</w:t>
      </w:r>
    </w:p>
    <w:p>
      <w:pPr>
        <w:pStyle w:val="ListNumber"/>
        <w:spacing w:after="80"/>
      </w:pPr>
      <w:r>
        <w:rPr>
          <w:rFonts w:ascii="Calibri" w:hAnsi="Calibri" w:eastAsia="Microsoft YaHei"/>
          <w:sz w:val="21"/>
        </w:rPr>
        <w:t>实现 NeuMF、NeuMFIPS、NeuMFDICE，并完成三类分布上的 9 组主实验。</w:t>
      </w:r>
    </w:p>
    <w:p>
      <w:pPr>
        <w:pStyle w:val="ListNumber"/>
        <w:spacing w:after="80"/>
      </w:pPr>
      <w:r>
        <w:rPr>
          <w:rFonts w:ascii="Calibri" w:hAnsi="Calibri" w:eastAsia="Microsoft YaHei"/>
          <w:sz w:val="21"/>
        </w:rPr>
        <w:t>补充 NeuMF-DICE 的 no-dis、no-adaptive、low-dis、high-dis 四组消融实验，并计算推荐列表流行度指标。</w:t>
      </w:r>
    </w:p>
    <w:p>
      <w:pPr>
        <w:pStyle w:val="ListNumber"/>
        <w:spacing w:after="80"/>
      </w:pPr>
      <w:r>
        <w:rPr>
          <w:rFonts w:ascii="Calibri" w:hAnsi="Calibri" w:eastAsia="Microsoft YaHei"/>
          <w:sz w:val="21"/>
        </w:rPr>
        <w:t>进一步实现 NGCF、NGCFIPS、NGCFDICE，在相同三类分布上完成 9 组泛化验证。</w:t>
      </w:r>
    </w:p>
    <w:p>
      <w:pPr>
        <w:pStyle w:val="ListNumber"/>
        <w:spacing w:after="80"/>
      </w:pPr>
      <w:r>
        <w:rPr>
          <w:rFonts w:ascii="Calibri" w:hAnsi="Calibri" w:eastAsia="Microsoft YaHei"/>
          <w:sz w:val="21"/>
        </w:rPr>
        <w:t>补充 VAE、VAEIPS、VAEDICE，在潜变量生成式 backbone 上完成 9 组迁移验证。</w:t>
      </w:r>
    </w:p>
    <w:p>
      <w:pPr>
        <w:spacing w:after="120" w:line="264" w:lineRule="auto"/>
      </w:pPr>
      <w:r>
        <w:rPr>
          <w:rFonts w:ascii="Calibri" w:hAnsi="Calibri" w:eastAsia="Microsoft YaHei"/>
          <w:b w:val="0"/>
          <w:sz w:val="22"/>
        </w:rPr>
        <w:t>本项目的实验设计围绕“同一测试分布下 base、IPS、DICE 三类模型的比较”展开。IPS 作为传统去偏对照，DICE 作为解耦去偏方法，base 模型用于观察未去偏情况下的准确率上限和热门偏向。</w:t>
      </w:r>
    </w:p>
    <w:p>
      <w:pPr>
        <w:pStyle w:val="Heading1"/>
        <w:keepNext/>
      </w:pPr>
      <w:r>
        <w:rPr>
          <w:rFonts w:ascii="Calibri" w:hAnsi="Calibri" w:eastAsia="Microsoft YaHei"/>
          <w:b/>
          <w:color w:val="2E74B5"/>
          <w:sz w:val="32"/>
        </w:rPr>
        <w:t>3. 三星复现：数据构造与基础实验</w:t>
      </w:r>
    </w:p>
    <w:p>
      <w:pPr>
        <w:pStyle w:val="Heading2"/>
        <w:keepNext/>
      </w:pPr>
      <w:r>
        <w:rPr>
          <w:rFonts w:ascii="Calibri" w:hAnsi="Calibri" w:eastAsia="Microsoft YaHei"/>
          <w:b/>
          <w:color w:val="2E74B5"/>
          <w:sz w:val="26"/>
        </w:rPr>
        <w:t>3.1 数据构造</w:t>
      </w:r>
    </w:p>
    <w:p>
      <w:pPr>
        <w:spacing w:after="120" w:line="264" w:lineRule="auto"/>
      </w:pPr>
      <w:r>
        <w:rPr>
          <w:rFonts w:ascii="Calibri" w:hAnsi="Calibri" w:eastAsia="Microsoft YaHei"/>
          <w:b w:val="0"/>
          <w:sz w:val="22"/>
        </w:rPr>
        <w:t>三星要求的关键在于重新调整训练集和测试集构造策略，而不是简单运行官方默认配置。本项目基于 MovieLens-10M 格式化数据，生成与 DICE 训练框架兼容的 Longtail、Uniform、Head 三类测试集合。Longtail 用于检验模型对长尾物品的推荐能力；Uniform 用于观察相对均匀分布下的整体效果；Head 用于检验模型对热门物品分布的依赖程度。</w:t>
      </w:r>
    </w:p>
    <w:p>
      <w:pPr>
        <w:pStyle w:val="Heading2"/>
        <w:keepNext/>
      </w:pPr>
      <w:r>
        <w:rPr>
          <w:rFonts w:ascii="Calibri" w:hAnsi="Calibri" w:eastAsia="Microsoft YaHei"/>
          <w:b/>
          <w:color w:val="2E74B5"/>
          <w:sz w:val="26"/>
        </w:rPr>
        <w:t>3.2 三星结果作为四星参照</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shd w:fill="E8EEF5"/>
          </w:tcPr>
          <w:p>
            <w:pPr>
              <w:spacing w:before="0" w:after="0" w:line="252" w:lineRule="auto"/>
              <w:jc w:val="center"/>
            </w:pPr>
            <w:r/>
            <w:r>
              <w:rPr>
                <w:rFonts w:ascii="Calibri" w:hAnsi="Calibri" w:eastAsia="Microsoft YaHei"/>
                <w:b/>
                <w:sz w:val="17"/>
              </w:rPr>
              <w:t>Split</w:t>
            </w:r>
          </w:p>
        </w:tc>
        <w:tc>
          <w:tcPr>
            <w:tcW w:type="dxa" w:w="1560"/>
            <w:vAlign w:val="center"/>
            <w:shd w:fill="E8EEF5"/>
          </w:tcPr>
          <w:p>
            <w:pPr>
              <w:spacing w:before="0" w:after="0" w:line="252" w:lineRule="auto"/>
              <w:jc w:val="center"/>
            </w:pPr>
            <w:r/>
            <w:r>
              <w:rPr>
                <w:rFonts w:ascii="Calibri" w:hAnsi="Calibri" w:eastAsia="Microsoft YaHei"/>
                <w:b/>
                <w:sz w:val="17"/>
              </w:rPr>
              <w:t>MF-DICE Recall@20</w:t>
            </w:r>
          </w:p>
        </w:tc>
        <w:tc>
          <w:tcPr>
            <w:tcW w:type="dxa" w:w="1560"/>
            <w:vAlign w:val="center"/>
            <w:shd w:fill="E8EEF5"/>
          </w:tcPr>
          <w:p>
            <w:pPr>
              <w:spacing w:before="0" w:after="0" w:line="252" w:lineRule="auto"/>
              <w:jc w:val="center"/>
            </w:pPr>
            <w:r/>
            <w:r>
              <w:rPr>
                <w:rFonts w:ascii="Calibri" w:hAnsi="Calibri" w:eastAsia="Microsoft YaHei"/>
                <w:b/>
                <w:sz w:val="17"/>
              </w:rPr>
              <w:t>NeuMF-DICE Recall@20</w:t>
            </w:r>
          </w:p>
        </w:tc>
        <w:tc>
          <w:tcPr>
            <w:tcW w:type="dxa" w:w="1560"/>
            <w:vAlign w:val="center"/>
            <w:shd w:fill="E8EEF5"/>
          </w:tcPr>
          <w:p>
            <w:pPr>
              <w:spacing w:before="0" w:after="0" w:line="252" w:lineRule="auto"/>
              <w:jc w:val="center"/>
            </w:pPr>
            <w:r/>
            <w:r>
              <w:rPr>
                <w:rFonts w:ascii="Calibri" w:hAnsi="Calibri" w:eastAsia="Microsoft YaHei"/>
                <w:b/>
                <w:sz w:val="17"/>
              </w:rPr>
              <w:t>MF-DICE NDCG@20</w:t>
            </w:r>
          </w:p>
        </w:tc>
        <w:tc>
          <w:tcPr>
            <w:tcW w:type="dxa" w:w="1560"/>
            <w:vAlign w:val="center"/>
            <w:shd w:fill="E8EEF5"/>
          </w:tcPr>
          <w:p>
            <w:pPr>
              <w:spacing w:before="0" w:after="0" w:line="252" w:lineRule="auto"/>
              <w:jc w:val="center"/>
            </w:pPr>
            <w:r/>
            <w:r>
              <w:rPr>
                <w:rFonts w:ascii="Calibri" w:hAnsi="Calibri" w:eastAsia="Microsoft YaHei"/>
                <w:b/>
                <w:sz w:val="17"/>
              </w:rPr>
              <w:t>NeuMF-DICE NDCG@20</w:t>
            </w:r>
          </w:p>
        </w:tc>
        <w:tc>
          <w:tcPr>
            <w:tcW w:type="dxa" w:w="1560"/>
            <w:vAlign w:val="center"/>
            <w:shd w:fill="E8EEF5"/>
          </w:tcPr>
          <w:p>
            <w:pPr>
              <w:spacing w:before="0" w:after="0" w:line="252" w:lineRule="auto"/>
              <w:jc w:val="center"/>
            </w:pPr>
            <w:r/>
            <w:r>
              <w:rPr>
                <w:rFonts w:ascii="Calibri" w:hAnsi="Calibri" w:eastAsia="Microsoft YaHei"/>
                <w:b/>
                <w:sz w:val="17"/>
              </w:rPr>
              <w:t>观察</w:t>
            </w:r>
          </w:p>
        </w:tc>
      </w:tr>
      <w:tr>
        <w:tc>
          <w:tcPr>
            <w:tcW w:type="dxa" w:w="1560"/>
            <w:vAlign w:val="center"/>
          </w:tcPr>
          <w:p>
            <w:pPr>
              <w:spacing w:before="0" w:after="0" w:line="252" w:lineRule="auto"/>
              <w:jc w:val="center"/>
            </w:pPr>
            <w:r/>
            <w:r>
              <w:rPr>
                <w:rFonts w:ascii="Calibri" w:hAnsi="Calibri" w:eastAsia="Microsoft YaHei"/>
                <w:b w:val="0"/>
                <w:sz w:val="16"/>
              </w:rPr>
              <w:t>Longtail</w:t>
            </w:r>
          </w:p>
        </w:tc>
        <w:tc>
          <w:tcPr>
            <w:tcW w:type="dxa" w:w="1560"/>
            <w:vAlign w:val="center"/>
          </w:tcPr>
          <w:p>
            <w:pPr>
              <w:spacing w:before="0" w:after="0" w:line="252" w:lineRule="auto"/>
              <w:jc w:val="center"/>
            </w:pPr>
            <w:r/>
            <w:r>
              <w:rPr>
                <w:rFonts w:ascii="Calibri" w:hAnsi="Calibri" w:eastAsia="Microsoft YaHei"/>
                <w:b w:val="0"/>
                <w:sz w:val="16"/>
              </w:rPr>
              <w:t>0.1663</w:t>
            </w:r>
          </w:p>
        </w:tc>
        <w:tc>
          <w:tcPr>
            <w:tcW w:type="dxa" w:w="1560"/>
            <w:vAlign w:val="center"/>
          </w:tcPr>
          <w:p>
            <w:pPr>
              <w:spacing w:before="0" w:after="0" w:line="252" w:lineRule="auto"/>
              <w:jc w:val="center"/>
            </w:pPr>
            <w:r/>
            <w:r>
              <w:rPr>
                <w:rFonts w:ascii="Calibri" w:hAnsi="Calibri" w:eastAsia="Microsoft YaHei"/>
                <w:b w:val="0"/>
                <w:sz w:val="16"/>
              </w:rPr>
              <w:t>0.1551</w:t>
            </w:r>
          </w:p>
        </w:tc>
        <w:tc>
          <w:tcPr>
            <w:tcW w:type="dxa" w:w="1560"/>
            <w:vAlign w:val="center"/>
          </w:tcPr>
          <w:p>
            <w:pPr>
              <w:spacing w:before="0" w:after="0" w:line="252" w:lineRule="auto"/>
              <w:jc w:val="center"/>
            </w:pPr>
            <w:r/>
            <w:r>
              <w:rPr>
                <w:rFonts w:ascii="Calibri" w:hAnsi="Calibri" w:eastAsia="Microsoft YaHei"/>
                <w:b w:val="0"/>
                <w:sz w:val="16"/>
              </w:rPr>
              <w:t>0.1140</w:t>
            </w:r>
          </w:p>
        </w:tc>
        <w:tc>
          <w:tcPr>
            <w:tcW w:type="dxa" w:w="1560"/>
            <w:vAlign w:val="center"/>
          </w:tcPr>
          <w:p>
            <w:pPr>
              <w:spacing w:before="0" w:after="0" w:line="252" w:lineRule="auto"/>
              <w:jc w:val="center"/>
            </w:pPr>
            <w:r/>
            <w:r>
              <w:rPr>
                <w:rFonts w:ascii="Calibri" w:hAnsi="Calibri" w:eastAsia="Microsoft YaHei"/>
                <w:b w:val="0"/>
                <w:sz w:val="16"/>
              </w:rPr>
              <w:t>0.1038</w:t>
            </w:r>
          </w:p>
        </w:tc>
        <w:tc>
          <w:tcPr>
            <w:tcW w:type="dxa" w:w="1560"/>
            <w:vAlign w:val="center"/>
          </w:tcPr>
          <w:p>
            <w:pPr>
              <w:spacing w:before="0" w:after="0" w:line="252" w:lineRule="auto"/>
              <w:jc w:val="left"/>
            </w:pPr>
            <w:r/>
            <w:r>
              <w:rPr>
                <w:rFonts w:ascii="Calibri" w:hAnsi="Calibri" w:eastAsia="Microsoft YaHei"/>
                <w:b w:val="0"/>
                <w:sz w:val="16"/>
              </w:rPr>
              <w:t>NeuMF-DICE 略低于 MF-DICE，但高于 NeuMF baseline。</w:t>
            </w:r>
          </w:p>
        </w:tc>
      </w:tr>
      <w:tr>
        <w:tc>
          <w:tcPr>
            <w:tcW w:type="dxa" w:w="1560"/>
            <w:vAlign w:val="center"/>
          </w:tcPr>
          <w:p>
            <w:pPr>
              <w:spacing w:before="0" w:after="0" w:line="252" w:lineRule="auto"/>
              <w:jc w:val="center"/>
            </w:pPr>
            <w:r/>
            <w:r>
              <w:rPr>
                <w:rFonts w:ascii="Calibri" w:hAnsi="Calibri" w:eastAsia="Microsoft YaHei"/>
                <w:b w:val="0"/>
                <w:sz w:val="16"/>
              </w:rPr>
              <w:t>Uniform</w:t>
            </w:r>
          </w:p>
        </w:tc>
        <w:tc>
          <w:tcPr>
            <w:tcW w:type="dxa" w:w="1560"/>
            <w:vAlign w:val="center"/>
          </w:tcPr>
          <w:p>
            <w:pPr>
              <w:spacing w:before="0" w:after="0" w:line="252" w:lineRule="auto"/>
              <w:jc w:val="center"/>
            </w:pPr>
            <w:r/>
            <w:r>
              <w:rPr>
                <w:rFonts w:ascii="Calibri" w:hAnsi="Calibri" w:eastAsia="Microsoft YaHei"/>
                <w:b w:val="0"/>
                <w:sz w:val="16"/>
              </w:rPr>
              <w:t>0.2146</w:t>
            </w:r>
          </w:p>
        </w:tc>
        <w:tc>
          <w:tcPr>
            <w:tcW w:type="dxa" w:w="1560"/>
            <w:vAlign w:val="center"/>
          </w:tcPr>
          <w:p>
            <w:pPr>
              <w:spacing w:before="0" w:after="0" w:line="252" w:lineRule="auto"/>
              <w:jc w:val="center"/>
            </w:pPr>
            <w:r/>
            <w:r>
              <w:rPr>
                <w:rFonts w:ascii="Calibri" w:hAnsi="Calibri" w:eastAsia="Microsoft YaHei"/>
                <w:b w:val="0"/>
                <w:sz w:val="16"/>
              </w:rPr>
              <w:t>0.1625</w:t>
            </w:r>
          </w:p>
        </w:tc>
        <w:tc>
          <w:tcPr>
            <w:tcW w:type="dxa" w:w="1560"/>
            <w:vAlign w:val="center"/>
          </w:tcPr>
          <w:p>
            <w:pPr>
              <w:spacing w:before="0" w:after="0" w:line="252" w:lineRule="auto"/>
              <w:jc w:val="center"/>
            </w:pPr>
            <w:r/>
            <w:r>
              <w:rPr>
                <w:rFonts w:ascii="Calibri" w:hAnsi="Calibri" w:eastAsia="Microsoft YaHei"/>
                <w:b w:val="0"/>
                <w:sz w:val="16"/>
              </w:rPr>
              <w:t>0.1515</w:t>
            </w:r>
          </w:p>
        </w:tc>
        <w:tc>
          <w:tcPr>
            <w:tcW w:type="dxa" w:w="1560"/>
            <w:vAlign w:val="center"/>
          </w:tcPr>
          <w:p>
            <w:pPr>
              <w:spacing w:before="0" w:after="0" w:line="252" w:lineRule="auto"/>
              <w:jc w:val="center"/>
            </w:pPr>
            <w:r/>
            <w:r>
              <w:rPr>
                <w:rFonts w:ascii="Calibri" w:hAnsi="Calibri" w:eastAsia="Microsoft YaHei"/>
                <w:b w:val="0"/>
                <w:sz w:val="16"/>
              </w:rPr>
              <w:t>0.1049</w:t>
            </w:r>
          </w:p>
        </w:tc>
        <w:tc>
          <w:tcPr>
            <w:tcW w:type="dxa" w:w="1560"/>
            <w:vAlign w:val="center"/>
          </w:tcPr>
          <w:p>
            <w:pPr>
              <w:spacing w:before="0" w:after="0" w:line="252" w:lineRule="auto"/>
              <w:jc w:val="left"/>
            </w:pPr>
            <w:r/>
            <w:r>
              <w:rPr>
                <w:rFonts w:ascii="Calibri" w:hAnsi="Calibri" w:eastAsia="Microsoft YaHei"/>
                <w:b w:val="0"/>
                <w:sz w:val="16"/>
              </w:rPr>
              <w:t>NeuMF-DICE 牺牲整体分布准确率，体现去偏代价。</w:t>
            </w:r>
          </w:p>
        </w:tc>
      </w:tr>
      <w:tr>
        <w:tc>
          <w:tcPr>
            <w:tcW w:type="dxa" w:w="1560"/>
            <w:vAlign w:val="center"/>
          </w:tcPr>
          <w:p>
            <w:pPr>
              <w:spacing w:before="0" w:after="0" w:line="252" w:lineRule="auto"/>
              <w:jc w:val="center"/>
            </w:pPr>
            <w:r/>
            <w:r>
              <w:rPr>
                <w:rFonts w:ascii="Calibri" w:hAnsi="Calibri" w:eastAsia="Microsoft YaHei"/>
                <w:b w:val="0"/>
                <w:sz w:val="16"/>
              </w:rPr>
              <w:t>Head</w:t>
            </w:r>
          </w:p>
        </w:tc>
        <w:tc>
          <w:tcPr>
            <w:tcW w:type="dxa" w:w="1560"/>
            <w:vAlign w:val="center"/>
          </w:tcPr>
          <w:p>
            <w:pPr>
              <w:spacing w:before="0" w:after="0" w:line="252" w:lineRule="auto"/>
              <w:jc w:val="center"/>
            </w:pPr>
            <w:r/>
            <w:r>
              <w:rPr>
                <w:rFonts w:ascii="Calibri" w:hAnsi="Calibri" w:eastAsia="Microsoft YaHei"/>
                <w:b w:val="0"/>
                <w:sz w:val="16"/>
              </w:rPr>
              <w:t>0.1421</w:t>
            </w:r>
          </w:p>
        </w:tc>
        <w:tc>
          <w:tcPr>
            <w:tcW w:type="dxa" w:w="1560"/>
            <w:vAlign w:val="center"/>
          </w:tcPr>
          <w:p>
            <w:pPr>
              <w:spacing w:before="0" w:after="0" w:line="252" w:lineRule="auto"/>
              <w:jc w:val="center"/>
            </w:pPr>
            <w:r/>
            <w:r>
              <w:rPr>
                <w:rFonts w:ascii="Calibri" w:hAnsi="Calibri" w:eastAsia="Microsoft YaHei"/>
                <w:b w:val="0"/>
                <w:sz w:val="16"/>
              </w:rPr>
              <w:t>0.1000</w:t>
            </w:r>
          </w:p>
        </w:tc>
        <w:tc>
          <w:tcPr>
            <w:tcW w:type="dxa" w:w="1560"/>
            <w:vAlign w:val="center"/>
          </w:tcPr>
          <w:p>
            <w:pPr>
              <w:spacing w:before="0" w:after="0" w:line="252" w:lineRule="auto"/>
              <w:jc w:val="center"/>
            </w:pPr>
            <w:r/>
            <w:r>
              <w:rPr>
                <w:rFonts w:ascii="Calibri" w:hAnsi="Calibri" w:eastAsia="Microsoft YaHei"/>
                <w:b w:val="0"/>
                <w:sz w:val="16"/>
              </w:rPr>
              <w:t>0.0977</w:t>
            </w:r>
          </w:p>
        </w:tc>
        <w:tc>
          <w:tcPr>
            <w:tcW w:type="dxa" w:w="1560"/>
            <w:vAlign w:val="center"/>
          </w:tcPr>
          <w:p>
            <w:pPr>
              <w:spacing w:before="0" w:after="0" w:line="252" w:lineRule="auto"/>
              <w:jc w:val="center"/>
            </w:pPr>
            <w:r/>
            <w:r>
              <w:rPr>
                <w:rFonts w:ascii="Calibri" w:hAnsi="Calibri" w:eastAsia="Microsoft YaHei"/>
                <w:b w:val="0"/>
                <w:sz w:val="16"/>
              </w:rPr>
              <w:t>0.0579</w:t>
            </w:r>
          </w:p>
        </w:tc>
        <w:tc>
          <w:tcPr>
            <w:tcW w:type="dxa" w:w="1560"/>
            <w:vAlign w:val="center"/>
          </w:tcPr>
          <w:p>
            <w:pPr>
              <w:spacing w:before="0" w:after="0" w:line="252" w:lineRule="auto"/>
              <w:jc w:val="left"/>
            </w:pPr>
            <w:r/>
            <w:r>
              <w:rPr>
                <w:rFonts w:ascii="Calibri" w:hAnsi="Calibri" w:eastAsia="Microsoft YaHei"/>
                <w:b w:val="0"/>
                <w:sz w:val="16"/>
              </w:rPr>
              <w:t>对热门物品分布抑制更强，准确率下降明显。</w:t>
            </w:r>
          </w:p>
        </w:tc>
      </w:tr>
    </w:tbl>
    <w:p>
      <w:pPr>
        <w:spacing w:before="0" w:after="40" w:line="264" w:lineRule="auto"/>
      </w:pPr>
      <w:r>
        <w:rPr>
          <w:rFonts w:ascii="Calibri" w:hAnsi="Calibri" w:eastAsia="Microsoft YaHei"/>
          <w:b w:val="0"/>
          <w:i w:val="0"/>
          <w:sz w:val="22"/>
        </w:rPr>
      </w:r>
    </w:p>
    <w:p>
      <w:pPr>
        <w:spacing w:after="120" w:line="264" w:lineRule="auto"/>
      </w:pPr>
      <w:r>
        <w:rPr>
          <w:rFonts w:ascii="Calibri" w:hAnsi="Calibri" w:eastAsia="Microsoft YaHei"/>
          <w:b w:val="0"/>
          <w:sz w:val="22"/>
        </w:rPr>
        <w:t>从对照结果可以看出，NeuMF-DICE 并没有在所有分布上超过原始 MF-DICE。因此，后续四星扩展的论证重点不是“更换模型后全指标更高”，而是“DICE 的解耦去偏机制可以迁移到新的 backbone，并在长尾目标上保持有效”。</w:t>
      </w:r>
    </w:p>
    <w:p>
      <w:pPr>
        <w:pStyle w:val="Heading1"/>
        <w:keepNext/>
      </w:pPr>
      <w:r>
        <w:rPr>
          <w:rFonts w:ascii="Calibri" w:hAnsi="Calibri" w:eastAsia="Microsoft YaHei"/>
          <w:b/>
          <w:color w:val="2E74B5"/>
          <w:sz w:val="32"/>
        </w:rPr>
        <w:t>4. 四星扩展一：NeuMF-DICE</w:t>
      </w:r>
    </w:p>
    <w:p>
      <w:pPr>
        <w:pStyle w:val="Heading2"/>
        <w:keepNext/>
      </w:pPr>
      <w:r>
        <w:rPr>
          <w:rFonts w:ascii="Calibri" w:hAnsi="Calibri" w:eastAsia="Microsoft YaHei"/>
          <w:b/>
          <w:color w:val="2E74B5"/>
          <w:sz w:val="26"/>
        </w:rPr>
        <w:t>4.1 模型替换思路</w:t>
      </w:r>
    </w:p>
    <w:p>
      <w:pPr>
        <w:spacing w:after="120" w:line="264" w:lineRule="auto"/>
      </w:pPr>
      <w:r>
        <w:rPr>
          <w:rFonts w:ascii="Calibri" w:hAnsi="Calibri" w:eastAsia="Microsoft YaHei"/>
          <w:b w:val="0"/>
          <w:sz w:val="22"/>
        </w:rPr>
        <w:t>NeuMF 是 Neural Collaborative Filtering 中常用的非线性协同过滤模型，结合 GMF 风格的线性交互和 MLP 风格的非线性表达能力。将 DICE 从矩阵分解迁移到 NeuMF，可以检验解耦去偏思想是否依赖原始线性打分结构。</w:t>
      </w:r>
    </w:p>
    <w:p>
      <w:pPr>
        <w:spacing w:after="120" w:line="264" w:lineRule="auto"/>
      </w:pPr>
      <w:r>
        <w:rPr>
          <w:rFonts w:ascii="Calibri" w:hAnsi="Calibri" w:eastAsia="Microsoft YaHei"/>
          <w:b w:val="0"/>
          <w:sz w:val="22"/>
        </w:rPr>
        <w:t>实现上，本项目保留 DICE 的 interest/conformity 分支、IPS 对照和 adaptive 训练策略，将基础预测模块替换为 NeuMF 结构，并分别运行 NeuMF、NeuMFIPS、NeuMFDICE。</w:t>
      </w:r>
    </w:p>
    <w:p>
      <w:pPr>
        <w:pStyle w:val="Heading2"/>
        <w:keepNext/>
      </w:pPr>
      <w:r>
        <w:rPr>
          <w:rFonts w:ascii="Calibri" w:hAnsi="Calibri" w:eastAsia="Microsoft YaHei"/>
          <w:b/>
          <w:color w:val="2E74B5"/>
          <w:sz w:val="26"/>
        </w:rPr>
        <w:t>4.2 NeuMF 主实验结果</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E8EEF5"/>
          </w:tcPr>
          <w:p>
            <w:pPr>
              <w:spacing w:before="0" w:after="0" w:line="252" w:lineRule="auto"/>
              <w:jc w:val="center"/>
            </w:pPr>
            <w:r/>
            <w:r>
              <w:rPr>
                <w:rFonts w:ascii="Calibri" w:hAnsi="Calibri" w:eastAsia="Microsoft YaHei"/>
                <w:b/>
                <w:sz w:val="15"/>
              </w:rPr>
              <w:t>Split</w:t>
            </w:r>
          </w:p>
        </w:tc>
        <w:tc>
          <w:tcPr>
            <w:tcW w:type="dxa" w:w="1040"/>
            <w:vAlign w:val="center"/>
            <w:shd w:fill="E8EEF5"/>
          </w:tcPr>
          <w:p>
            <w:pPr>
              <w:spacing w:before="0" w:after="0" w:line="252" w:lineRule="auto"/>
              <w:jc w:val="center"/>
            </w:pPr>
            <w:r/>
            <w:r>
              <w:rPr>
                <w:rFonts w:ascii="Calibri" w:hAnsi="Calibri" w:eastAsia="Microsoft YaHei"/>
                <w:b/>
                <w:sz w:val="15"/>
              </w:rPr>
              <w:t>Model</w:t>
            </w:r>
          </w:p>
        </w:tc>
        <w:tc>
          <w:tcPr>
            <w:tcW w:type="dxa" w:w="1040"/>
            <w:vAlign w:val="center"/>
            <w:shd w:fill="E8EEF5"/>
          </w:tcPr>
          <w:p>
            <w:pPr>
              <w:spacing w:before="0" w:after="0" w:line="252" w:lineRule="auto"/>
              <w:jc w:val="center"/>
            </w:pPr>
            <w:r/>
            <w:r>
              <w:rPr>
                <w:rFonts w:ascii="Calibri" w:hAnsi="Calibri" w:eastAsia="Microsoft YaHei"/>
                <w:b/>
                <w:sz w:val="15"/>
              </w:rPr>
              <w:t>Best</w:t>
            </w:r>
          </w:p>
        </w:tc>
        <w:tc>
          <w:tcPr>
            <w:tcW w:type="dxa" w:w="1040"/>
            <w:vAlign w:val="center"/>
            <w:shd w:fill="E8EEF5"/>
          </w:tcPr>
          <w:p>
            <w:pPr>
              <w:spacing w:before="0" w:after="0" w:line="252" w:lineRule="auto"/>
              <w:jc w:val="center"/>
            </w:pPr>
            <w:r/>
            <w:r>
              <w:rPr>
                <w:rFonts w:ascii="Calibri" w:hAnsi="Calibri" w:eastAsia="Microsoft YaHei"/>
                <w:b/>
                <w:sz w:val="15"/>
              </w:rPr>
              <w:t>R@20</w:t>
            </w:r>
          </w:p>
        </w:tc>
        <w:tc>
          <w:tcPr>
            <w:tcW w:type="dxa" w:w="1040"/>
            <w:vAlign w:val="center"/>
            <w:shd w:fill="E8EEF5"/>
          </w:tcPr>
          <w:p>
            <w:pPr>
              <w:spacing w:before="0" w:after="0" w:line="252" w:lineRule="auto"/>
              <w:jc w:val="center"/>
            </w:pPr>
            <w:r/>
            <w:r>
              <w:rPr>
                <w:rFonts w:ascii="Calibri" w:hAnsi="Calibri" w:eastAsia="Microsoft YaHei"/>
                <w:b/>
                <w:sz w:val="15"/>
              </w:rPr>
              <w:t>N@20</w:t>
            </w:r>
          </w:p>
        </w:tc>
        <w:tc>
          <w:tcPr>
            <w:tcW w:type="dxa" w:w="1040"/>
            <w:vAlign w:val="center"/>
            <w:shd w:fill="E8EEF5"/>
          </w:tcPr>
          <w:p>
            <w:pPr>
              <w:spacing w:before="0" w:after="0" w:line="252" w:lineRule="auto"/>
              <w:jc w:val="center"/>
            </w:pPr>
            <w:r/>
            <w:r>
              <w:rPr>
                <w:rFonts w:ascii="Calibri" w:hAnsi="Calibri" w:eastAsia="Microsoft YaHei"/>
                <w:b/>
                <w:sz w:val="15"/>
              </w:rPr>
              <w:t>HR@20</w:t>
            </w:r>
          </w:p>
        </w:tc>
        <w:tc>
          <w:tcPr>
            <w:tcW w:type="dxa" w:w="1040"/>
            <w:vAlign w:val="center"/>
            <w:shd w:fill="E8EEF5"/>
          </w:tcPr>
          <w:p>
            <w:pPr>
              <w:spacing w:before="0" w:after="0" w:line="252" w:lineRule="auto"/>
              <w:jc w:val="center"/>
            </w:pPr>
            <w:r/>
            <w:r>
              <w:rPr>
                <w:rFonts w:ascii="Calibri" w:hAnsi="Calibri" w:eastAsia="Microsoft YaHei"/>
                <w:b/>
                <w:sz w:val="15"/>
              </w:rPr>
              <w:t>R@50</w:t>
            </w:r>
          </w:p>
        </w:tc>
        <w:tc>
          <w:tcPr>
            <w:tcW w:type="dxa" w:w="1040"/>
            <w:vAlign w:val="center"/>
            <w:shd w:fill="E8EEF5"/>
          </w:tcPr>
          <w:p>
            <w:pPr>
              <w:spacing w:before="0" w:after="0" w:line="252" w:lineRule="auto"/>
              <w:jc w:val="center"/>
            </w:pPr>
            <w:r/>
            <w:r>
              <w:rPr>
                <w:rFonts w:ascii="Calibri" w:hAnsi="Calibri" w:eastAsia="Microsoft YaHei"/>
                <w:b/>
                <w:sz w:val="15"/>
              </w:rPr>
              <w:t>N@50</w:t>
            </w:r>
          </w:p>
        </w:tc>
        <w:tc>
          <w:tcPr>
            <w:tcW w:type="dxa" w:w="1040"/>
            <w:vAlign w:val="center"/>
            <w:shd w:fill="E8EEF5"/>
          </w:tcPr>
          <w:p>
            <w:pPr>
              <w:spacing w:before="0" w:after="0" w:line="252" w:lineRule="auto"/>
              <w:jc w:val="center"/>
            </w:pPr>
            <w:r/>
            <w:r>
              <w:rPr>
                <w:rFonts w:ascii="Calibri" w:hAnsi="Calibri" w:eastAsia="Microsoft YaHei"/>
                <w:b/>
                <w:sz w:val="15"/>
              </w:rPr>
              <w:t>HR@50</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NeuMF</w:t>
            </w:r>
          </w:p>
        </w:tc>
        <w:tc>
          <w:tcPr>
            <w:tcW w:type="dxa" w:w="1040"/>
            <w:vAlign w:val="center"/>
          </w:tcPr>
          <w:p>
            <w:pPr>
              <w:spacing w:before="0" w:after="0" w:line="252" w:lineRule="auto"/>
              <w:jc w:val="center"/>
            </w:pPr>
            <w:r/>
            <w:r>
              <w:rPr>
                <w:rFonts w:ascii="Calibri" w:hAnsi="Calibri" w:eastAsia="Microsoft YaHei"/>
                <w:b w:val="0"/>
                <w:sz w:val="14"/>
              </w:rPr>
              <w:t>27</w:t>
            </w:r>
          </w:p>
        </w:tc>
        <w:tc>
          <w:tcPr>
            <w:tcW w:type="dxa" w:w="1040"/>
            <w:vAlign w:val="center"/>
          </w:tcPr>
          <w:p>
            <w:pPr>
              <w:spacing w:before="0" w:after="0" w:line="252" w:lineRule="auto"/>
              <w:jc w:val="center"/>
            </w:pPr>
            <w:r/>
            <w:r>
              <w:rPr>
                <w:rFonts w:ascii="Calibri" w:hAnsi="Calibri" w:eastAsia="Microsoft YaHei"/>
                <w:b w:val="0"/>
                <w:sz w:val="14"/>
              </w:rPr>
              <w:t>0.1491</w:t>
            </w:r>
          </w:p>
        </w:tc>
        <w:tc>
          <w:tcPr>
            <w:tcW w:type="dxa" w:w="1040"/>
            <w:vAlign w:val="center"/>
          </w:tcPr>
          <w:p>
            <w:pPr>
              <w:spacing w:before="0" w:after="0" w:line="252" w:lineRule="auto"/>
              <w:jc w:val="center"/>
            </w:pPr>
            <w:r/>
            <w:r>
              <w:rPr>
                <w:rFonts w:ascii="Calibri" w:hAnsi="Calibri" w:eastAsia="Microsoft YaHei"/>
                <w:b w:val="0"/>
                <w:sz w:val="14"/>
              </w:rPr>
              <w:t>0.1002</w:t>
            </w:r>
          </w:p>
        </w:tc>
        <w:tc>
          <w:tcPr>
            <w:tcW w:type="dxa" w:w="1040"/>
            <w:vAlign w:val="center"/>
          </w:tcPr>
          <w:p>
            <w:pPr>
              <w:spacing w:before="0" w:after="0" w:line="252" w:lineRule="auto"/>
              <w:jc w:val="center"/>
            </w:pPr>
            <w:r/>
            <w:r>
              <w:rPr>
                <w:rFonts w:ascii="Calibri" w:hAnsi="Calibri" w:eastAsia="Microsoft YaHei"/>
                <w:b w:val="0"/>
                <w:sz w:val="14"/>
              </w:rPr>
              <w:t>0.5110</w:t>
            </w:r>
          </w:p>
        </w:tc>
        <w:tc>
          <w:tcPr>
            <w:tcW w:type="dxa" w:w="1040"/>
            <w:vAlign w:val="center"/>
          </w:tcPr>
          <w:p>
            <w:pPr>
              <w:spacing w:before="0" w:after="0" w:line="252" w:lineRule="auto"/>
              <w:jc w:val="center"/>
            </w:pPr>
            <w:r/>
            <w:r>
              <w:rPr>
                <w:rFonts w:ascii="Calibri" w:hAnsi="Calibri" w:eastAsia="Microsoft YaHei"/>
                <w:b w:val="0"/>
                <w:sz w:val="14"/>
              </w:rPr>
              <w:t>0.2701</w:t>
            </w:r>
          </w:p>
        </w:tc>
        <w:tc>
          <w:tcPr>
            <w:tcW w:type="dxa" w:w="1040"/>
            <w:vAlign w:val="center"/>
          </w:tcPr>
          <w:p>
            <w:pPr>
              <w:spacing w:before="0" w:after="0" w:line="252" w:lineRule="auto"/>
              <w:jc w:val="center"/>
            </w:pPr>
            <w:r/>
            <w:r>
              <w:rPr>
                <w:rFonts w:ascii="Calibri" w:hAnsi="Calibri" w:eastAsia="Microsoft YaHei"/>
                <w:b w:val="0"/>
                <w:sz w:val="14"/>
              </w:rPr>
              <w:t>0.1398</w:t>
            </w:r>
          </w:p>
        </w:tc>
        <w:tc>
          <w:tcPr>
            <w:tcW w:type="dxa" w:w="1040"/>
            <w:vAlign w:val="center"/>
          </w:tcPr>
          <w:p>
            <w:pPr>
              <w:spacing w:before="0" w:after="0" w:line="252" w:lineRule="auto"/>
              <w:jc w:val="center"/>
            </w:pPr>
            <w:r/>
            <w:r>
              <w:rPr>
                <w:rFonts w:ascii="Calibri" w:hAnsi="Calibri" w:eastAsia="Microsoft YaHei"/>
                <w:b w:val="0"/>
                <w:sz w:val="14"/>
              </w:rPr>
              <w:t>0.7135</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NeuMFIPS</w:t>
            </w:r>
          </w:p>
        </w:tc>
        <w:tc>
          <w:tcPr>
            <w:tcW w:type="dxa" w:w="1040"/>
            <w:vAlign w:val="center"/>
          </w:tcPr>
          <w:p>
            <w:pPr>
              <w:spacing w:before="0" w:after="0" w:line="252" w:lineRule="auto"/>
              <w:jc w:val="center"/>
            </w:pPr>
            <w:r/>
            <w:r>
              <w:rPr>
                <w:rFonts w:ascii="Calibri" w:hAnsi="Calibri" w:eastAsia="Microsoft YaHei"/>
                <w:b w:val="0"/>
                <w:sz w:val="14"/>
              </w:rPr>
              <w:t>49</w:t>
            </w:r>
          </w:p>
        </w:tc>
        <w:tc>
          <w:tcPr>
            <w:tcW w:type="dxa" w:w="1040"/>
            <w:vAlign w:val="center"/>
          </w:tcPr>
          <w:p>
            <w:pPr>
              <w:spacing w:before="0" w:after="0" w:line="252" w:lineRule="auto"/>
              <w:jc w:val="center"/>
            </w:pPr>
            <w:r/>
            <w:r>
              <w:rPr>
                <w:rFonts w:ascii="Calibri" w:hAnsi="Calibri" w:eastAsia="Microsoft YaHei"/>
                <w:b w:val="0"/>
                <w:sz w:val="14"/>
              </w:rPr>
              <w:t>0.1169</w:t>
            </w:r>
          </w:p>
        </w:tc>
        <w:tc>
          <w:tcPr>
            <w:tcW w:type="dxa" w:w="1040"/>
            <w:vAlign w:val="center"/>
          </w:tcPr>
          <w:p>
            <w:pPr>
              <w:spacing w:before="0" w:after="0" w:line="252" w:lineRule="auto"/>
              <w:jc w:val="center"/>
            </w:pPr>
            <w:r/>
            <w:r>
              <w:rPr>
                <w:rFonts w:ascii="Calibri" w:hAnsi="Calibri" w:eastAsia="Microsoft YaHei"/>
                <w:b w:val="0"/>
                <w:sz w:val="14"/>
              </w:rPr>
              <w:t>0.0747</w:t>
            </w:r>
          </w:p>
        </w:tc>
        <w:tc>
          <w:tcPr>
            <w:tcW w:type="dxa" w:w="1040"/>
            <w:vAlign w:val="center"/>
          </w:tcPr>
          <w:p>
            <w:pPr>
              <w:spacing w:before="0" w:after="0" w:line="252" w:lineRule="auto"/>
              <w:jc w:val="center"/>
            </w:pPr>
            <w:r/>
            <w:r>
              <w:rPr>
                <w:rFonts w:ascii="Calibri" w:hAnsi="Calibri" w:eastAsia="Microsoft YaHei"/>
                <w:b w:val="0"/>
                <w:sz w:val="14"/>
              </w:rPr>
              <w:t>0.4416</w:t>
            </w:r>
          </w:p>
        </w:tc>
        <w:tc>
          <w:tcPr>
            <w:tcW w:type="dxa" w:w="1040"/>
            <w:vAlign w:val="center"/>
          </w:tcPr>
          <w:p>
            <w:pPr>
              <w:spacing w:before="0" w:after="0" w:line="252" w:lineRule="auto"/>
              <w:jc w:val="center"/>
            </w:pPr>
            <w:r/>
            <w:r>
              <w:rPr>
                <w:rFonts w:ascii="Calibri" w:hAnsi="Calibri" w:eastAsia="Microsoft YaHei"/>
                <w:b w:val="0"/>
                <w:sz w:val="14"/>
              </w:rPr>
              <w:t>0.2247</w:t>
            </w:r>
          </w:p>
        </w:tc>
        <w:tc>
          <w:tcPr>
            <w:tcW w:type="dxa" w:w="1040"/>
            <w:vAlign w:val="center"/>
          </w:tcPr>
          <w:p>
            <w:pPr>
              <w:spacing w:before="0" w:after="0" w:line="252" w:lineRule="auto"/>
              <w:jc w:val="center"/>
            </w:pPr>
            <w:r/>
            <w:r>
              <w:rPr>
                <w:rFonts w:ascii="Calibri" w:hAnsi="Calibri" w:eastAsia="Microsoft YaHei"/>
                <w:b w:val="0"/>
                <w:sz w:val="14"/>
              </w:rPr>
              <w:t>0.1103</w:t>
            </w:r>
          </w:p>
        </w:tc>
        <w:tc>
          <w:tcPr>
            <w:tcW w:type="dxa" w:w="1040"/>
            <w:vAlign w:val="center"/>
          </w:tcPr>
          <w:p>
            <w:pPr>
              <w:spacing w:before="0" w:after="0" w:line="252" w:lineRule="auto"/>
              <w:jc w:val="center"/>
            </w:pPr>
            <w:r/>
            <w:r>
              <w:rPr>
                <w:rFonts w:ascii="Calibri" w:hAnsi="Calibri" w:eastAsia="Microsoft YaHei"/>
                <w:b w:val="0"/>
                <w:sz w:val="14"/>
              </w:rPr>
              <w:t>0.6538</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NeuMFDICE</w:t>
            </w:r>
          </w:p>
        </w:tc>
        <w:tc>
          <w:tcPr>
            <w:tcW w:type="dxa" w:w="1040"/>
            <w:vAlign w:val="center"/>
          </w:tcPr>
          <w:p>
            <w:pPr>
              <w:spacing w:before="0" w:after="0" w:line="252" w:lineRule="auto"/>
              <w:jc w:val="center"/>
            </w:pPr>
            <w:r/>
            <w:r>
              <w:rPr>
                <w:rFonts w:ascii="Calibri" w:hAnsi="Calibri" w:eastAsia="Microsoft YaHei"/>
                <w:b w:val="0"/>
                <w:sz w:val="14"/>
              </w:rPr>
              <w:t>14</w:t>
            </w:r>
          </w:p>
        </w:tc>
        <w:tc>
          <w:tcPr>
            <w:tcW w:type="dxa" w:w="1040"/>
            <w:vAlign w:val="center"/>
          </w:tcPr>
          <w:p>
            <w:pPr>
              <w:spacing w:before="0" w:after="0" w:line="252" w:lineRule="auto"/>
              <w:jc w:val="center"/>
            </w:pPr>
            <w:r/>
            <w:r>
              <w:rPr>
                <w:rFonts w:ascii="Calibri" w:hAnsi="Calibri" w:eastAsia="Microsoft YaHei"/>
                <w:b w:val="0"/>
                <w:sz w:val="14"/>
              </w:rPr>
              <w:t>0.1551</w:t>
            </w:r>
          </w:p>
        </w:tc>
        <w:tc>
          <w:tcPr>
            <w:tcW w:type="dxa" w:w="1040"/>
            <w:vAlign w:val="center"/>
          </w:tcPr>
          <w:p>
            <w:pPr>
              <w:spacing w:before="0" w:after="0" w:line="252" w:lineRule="auto"/>
              <w:jc w:val="center"/>
            </w:pPr>
            <w:r/>
            <w:r>
              <w:rPr>
                <w:rFonts w:ascii="Calibri" w:hAnsi="Calibri" w:eastAsia="Microsoft YaHei"/>
                <w:b w:val="0"/>
                <w:sz w:val="14"/>
              </w:rPr>
              <w:t>0.1038</w:t>
            </w:r>
          </w:p>
        </w:tc>
        <w:tc>
          <w:tcPr>
            <w:tcW w:type="dxa" w:w="1040"/>
            <w:vAlign w:val="center"/>
          </w:tcPr>
          <w:p>
            <w:pPr>
              <w:spacing w:before="0" w:after="0" w:line="252" w:lineRule="auto"/>
              <w:jc w:val="center"/>
            </w:pPr>
            <w:r/>
            <w:r>
              <w:rPr>
                <w:rFonts w:ascii="Calibri" w:hAnsi="Calibri" w:eastAsia="Microsoft YaHei"/>
                <w:b w:val="0"/>
                <w:sz w:val="14"/>
              </w:rPr>
              <w:t>0.5341</w:t>
            </w:r>
          </w:p>
        </w:tc>
        <w:tc>
          <w:tcPr>
            <w:tcW w:type="dxa" w:w="1040"/>
            <w:vAlign w:val="center"/>
          </w:tcPr>
          <w:p>
            <w:pPr>
              <w:spacing w:before="0" w:after="0" w:line="252" w:lineRule="auto"/>
              <w:jc w:val="center"/>
            </w:pPr>
            <w:r/>
            <w:r>
              <w:rPr>
                <w:rFonts w:ascii="Calibri" w:hAnsi="Calibri" w:eastAsia="Microsoft YaHei"/>
                <w:b w:val="0"/>
                <w:sz w:val="14"/>
              </w:rPr>
              <w:t>0.2812</w:t>
            </w:r>
          </w:p>
        </w:tc>
        <w:tc>
          <w:tcPr>
            <w:tcW w:type="dxa" w:w="1040"/>
            <w:vAlign w:val="center"/>
          </w:tcPr>
          <w:p>
            <w:pPr>
              <w:spacing w:before="0" w:after="0" w:line="252" w:lineRule="auto"/>
              <w:jc w:val="center"/>
            </w:pPr>
            <w:r/>
            <w:r>
              <w:rPr>
                <w:rFonts w:ascii="Calibri" w:hAnsi="Calibri" w:eastAsia="Microsoft YaHei"/>
                <w:b w:val="0"/>
                <w:sz w:val="14"/>
              </w:rPr>
              <w:t>0.1447</w:t>
            </w:r>
          </w:p>
        </w:tc>
        <w:tc>
          <w:tcPr>
            <w:tcW w:type="dxa" w:w="1040"/>
            <w:vAlign w:val="center"/>
          </w:tcPr>
          <w:p>
            <w:pPr>
              <w:spacing w:before="0" w:after="0" w:line="252" w:lineRule="auto"/>
              <w:jc w:val="center"/>
            </w:pPr>
            <w:r/>
            <w:r>
              <w:rPr>
                <w:rFonts w:ascii="Calibri" w:hAnsi="Calibri" w:eastAsia="Microsoft YaHei"/>
                <w:b w:val="0"/>
                <w:sz w:val="14"/>
              </w:rPr>
              <w:t>0.7394</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NeuMF</w:t>
            </w:r>
          </w:p>
        </w:tc>
        <w:tc>
          <w:tcPr>
            <w:tcW w:type="dxa" w:w="1040"/>
            <w:vAlign w:val="center"/>
          </w:tcPr>
          <w:p>
            <w:pPr>
              <w:spacing w:before="0" w:after="0" w:line="252" w:lineRule="auto"/>
              <w:jc w:val="center"/>
            </w:pPr>
            <w:r/>
            <w:r>
              <w:rPr>
                <w:rFonts w:ascii="Calibri" w:hAnsi="Calibri" w:eastAsia="Microsoft YaHei"/>
                <w:b w:val="0"/>
                <w:sz w:val="14"/>
              </w:rPr>
              <w:t>12</w:t>
            </w:r>
          </w:p>
        </w:tc>
        <w:tc>
          <w:tcPr>
            <w:tcW w:type="dxa" w:w="1040"/>
            <w:vAlign w:val="center"/>
          </w:tcPr>
          <w:p>
            <w:pPr>
              <w:spacing w:before="0" w:after="0" w:line="252" w:lineRule="auto"/>
              <w:jc w:val="center"/>
            </w:pPr>
            <w:r/>
            <w:r>
              <w:rPr>
                <w:rFonts w:ascii="Calibri" w:hAnsi="Calibri" w:eastAsia="Microsoft YaHei"/>
                <w:b w:val="0"/>
                <w:sz w:val="14"/>
              </w:rPr>
              <w:t>0.2893</w:t>
            </w:r>
          </w:p>
        </w:tc>
        <w:tc>
          <w:tcPr>
            <w:tcW w:type="dxa" w:w="1040"/>
            <w:vAlign w:val="center"/>
          </w:tcPr>
          <w:p>
            <w:pPr>
              <w:spacing w:before="0" w:after="0" w:line="252" w:lineRule="auto"/>
              <w:jc w:val="center"/>
            </w:pPr>
            <w:r/>
            <w:r>
              <w:rPr>
                <w:rFonts w:ascii="Calibri" w:hAnsi="Calibri" w:eastAsia="Microsoft YaHei"/>
                <w:b w:val="0"/>
                <w:sz w:val="14"/>
              </w:rPr>
              <w:t>0.2107</w:t>
            </w:r>
          </w:p>
        </w:tc>
        <w:tc>
          <w:tcPr>
            <w:tcW w:type="dxa" w:w="1040"/>
            <w:vAlign w:val="center"/>
          </w:tcPr>
          <w:p>
            <w:pPr>
              <w:spacing w:before="0" w:after="0" w:line="252" w:lineRule="auto"/>
              <w:jc w:val="center"/>
            </w:pPr>
            <w:r/>
            <w:r>
              <w:rPr>
                <w:rFonts w:ascii="Calibri" w:hAnsi="Calibri" w:eastAsia="Microsoft YaHei"/>
                <w:b w:val="0"/>
                <w:sz w:val="14"/>
              </w:rPr>
              <w:t>0.7786</w:t>
            </w:r>
          </w:p>
        </w:tc>
        <w:tc>
          <w:tcPr>
            <w:tcW w:type="dxa" w:w="1040"/>
            <w:vAlign w:val="center"/>
          </w:tcPr>
          <w:p>
            <w:pPr>
              <w:spacing w:before="0" w:after="0" w:line="252" w:lineRule="auto"/>
              <w:jc w:val="center"/>
            </w:pPr>
            <w:r/>
            <w:r>
              <w:rPr>
                <w:rFonts w:ascii="Calibri" w:hAnsi="Calibri" w:eastAsia="Microsoft YaHei"/>
                <w:b w:val="0"/>
                <w:sz w:val="14"/>
              </w:rPr>
              <w:t>0.4626</w:t>
            </w:r>
          </w:p>
        </w:tc>
        <w:tc>
          <w:tcPr>
            <w:tcW w:type="dxa" w:w="1040"/>
            <w:vAlign w:val="center"/>
          </w:tcPr>
          <w:p>
            <w:pPr>
              <w:spacing w:before="0" w:after="0" w:line="252" w:lineRule="auto"/>
              <w:jc w:val="center"/>
            </w:pPr>
            <w:r/>
            <w:r>
              <w:rPr>
                <w:rFonts w:ascii="Calibri" w:hAnsi="Calibri" w:eastAsia="Microsoft YaHei"/>
                <w:b w:val="0"/>
                <w:sz w:val="14"/>
              </w:rPr>
              <w:t>0.2698</w:t>
            </w:r>
          </w:p>
        </w:tc>
        <w:tc>
          <w:tcPr>
            <w:tcW w:type="dxa" w:w="1040"/>
            <w:vAlign w:val="center"/>
          </w:tcPr>
          <w:p>
            <w:pPr>
              <w:spacing w:before="0" w:after="0" w:line="252" w:lineRule="auto"/>
              <w:jc w:val="center"/>
            </w:pPr>
            <w:r/>
            <w:r>
              <w:rPr>
                <w:rFonts w:ascii="Calibri" w:hAnsi="Calibri" w:eastAsia="Microsoft YaHei"/>
                <w:b w:val="0"/>
                <w:sz w:val="14"/>
              </w:rPr>
              <w:t>0.9065</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NeuMFIPS</w:t>
            </w:r>
          </w:p>
        </w:tc>
        <w:tc>
          <w:tcPr>
            <w:tcW w:type="dxa" w:w="1040"/>
            <w:vAlign w:val="center"/>
          </w:tcPr>
          <w:p>
            <w:pPr>
              <w:spacing w:before="0" w:after="0" w:line="252" w:lineRule="auto"/>
              <w:jc w:val="center"/>
            </w:pPr>
            <w:r/>
            <w:r>
              <w:rPr>
                <w:rFonts w:ascii="Calibri" w:hAnsi="Calibri" w:eastAsia="Microsoft YaHei"/>
                <w:b w:val="0"/>
                <w:sz w:val="14"/>
              </w:rPr>
              <w:t>26</w:t>
            </w:r>
          </w:p>
        </w:tc>
        <w:tc>
          <w:tcPr>
            <w:tcW w:type="dxa" w:w="1040"/>
            <w:vAlign w:val="center"/>
          </w:tcPr>
          <w:p>
            <w:pPr>
              <w:spacing w:before="0" w:after="0" w:line="252" w:lineRule="auto"/>
              <w:jc w:val="center"/>
            </w:pPr>
            <w:r/>
            <w:r>
              <w:rPr>
                <w:rFonts w:ascii="Calibri" w:hAnsi="Calibri" w:eastAsia="Microsoft YaHei"/>
                <w:b w:val="0"/>
                <w:sz w:val="14"/>
              </w:rPr>
              <w:t>0.1242</w:t>
            </w:r>
          </w:p>
        </w:tc>
        <w:tc>
          <w:tcPr>
            <w:tcW w:type="dxa" w:w="1040"/>
            <w:vAlign w:val="center"/>
          </w:tcPr>
          <w:p>
            <w:pPr>
              <w:spacing w:before="0" w:after="0" w:line="252" w:lineRule="auto"/>
              <w:jc w:val="center"/>
            </w:pPr>
            <w:r/>
            <w:r>
              <w:rPr>
                <w:rFonts w:ascii="Calibri" w:hAnsi="Calibri" w:eastAsia="Microsoft YaHei"/>
                <w:b w:val="0"/>
                <w:sz w:val="14"/>
              </w:rPr>
              <w:t>0.0726</w:t>
            </w:r>
          </w:p>
        </w:tc>
        <w:tc>
          <w:tcPr>
            <w:tcW w:type="dxa" w:w="1040"/>
            <w:vAlign w:val="center"/>
          </w:tcPr>
          <w:p>
            <w:pPr>
              <w:spacing w:before="0" w:after="0" w:line="252" w:lineRule="auto"/>
              <w:jc w:val="center"/>
            </w:pPr>
            <w:r/>
            <w:r>
              <w:rPr>
                <w:rFonts w:ascii="Calibri" w:hAnsi="Calibri" w:eastAsia="Microsoft YaHei"/>
                <w:b w:val="0"/>
                <w:sz w:val="14"/>
              </w:rPr>
              <w:t>0.4360</w:t>
            </w:r>
          </w:p>
        </w:tc>
        <w:tc>
          <w:tcPr>
            <w:tcW w:type="dxa" w:w="1040"/>
            <w:vAlign w:val="center"/>
          </w:tcPr>
          <w:p>
            <w:pPr>
              <w:spacing w:before="0" w:after="0" w:line="252" w:lineRule="auto"/>
              <w:jc w:val="center"/>
            </w:pPr>
            <w:r/>
            <w:r>
              <w:rPr>
                <w:rFonts w:ascii="Calibri" w:hAnsi="Calibri" w:eastAsia="Microsoft YaHei"/>
                <w:b w:val="0"/>
                <w:sz w:val="14"/>
              </w:rPr>
              <w:t>0.2724</w:t>
            </w:r>
          </w:p>
        </w:tc>
        <w:tc>
          <w:tcPr>
            <w:tcW w:type="dxa" w:w="1040"/>
            <w:vAlign w:val="center"/>
          </w:tcPr>
          <w:p>
            <w:pPr>
              <w:spacing w:before="0" w:after="0" w:line="252" w:lineRule="auto"/>
              <w:jc w:val="center"/>
            </w:pPr>
            <w:r/>
            <w:r>
              <w:rPr>
                <w:rFonts w:ascii="Calibri" w:hAnsi="Calibri" w:eastAsia="Microsoft YaHei"/>
                <w:b w:val="0"/>
                <w:sz w:val="14"/>
              </w:rPr>
              <w:t>0.1207</w:t>
            </w:r>
          </w:p>
        </w:tc>
        <w:tc>
          <w:tcPr>
            <w:tcW w:type="dxa" w:w="1040"/>
            <w:vAlign w:val="center"/>
          </w:tcPr>
          <w:p>
            <w:pPr>
              <w:spacing w:before="0" w:after="0" w:line="252" w:lineRule="auto"/>
              <w:jc w:val="center"/>
            </w:pPr>
            <w:r/>
            <w:r>
              <w:rPr>
                <w:rFonts w:ascii="Calibri" w:hAnsi="Calibri" w:eastAsia="Microsoft YaHei"/>
                <w:b w:val="0"/>
                <w:sz w:val="14"/>
              </w:rPr>
              <w:t>0.7112</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NeuMFDICE</w:t>
            </w:r>
          </w:p>
        </w:tc>
        <w:tc>
          <w:tcPr>
            <w:tcW w:type="dxa" w:w="1040"/>
            <w:vAlign w:val="center"/>
          </w:tcPr>
          <w:p>
            <w:pPr>
              <w:spacing w:before="0" w:after="0" w:line="252" w:lineRule="auto"/>
              <w:jc w:val="center"/>
            </w:pPr>
            <w:r/>
            <w:r>
              <w:rPr>
                <w:rFonts w:ascii="Calibri" w:hAnsi="Calibri" w:eastAsia="Microsoft YaHei"/>
                <w:b w:val="0"/>
                <w:sz w:val="14"/>
              </w:rPr>
              <w:t>17</w:t>
            </w:r>
          </w:p>
        </w:tc>
        <w:tc>
          <w:tcPr>
            <w:tcW w:type="dxa" w:w="1040"/>
            <w:vAlign w:val="center"/>
          </w:tcPr>
          <w:p>
            <w:pPr>
              <w:spacing w:before="0" w:after="0" w:line="252" w:lineRule="auto"/>
              <w:jc w:val="center"/>
            </w:pPr>
            <w:r/>
            <w:r>
              <w:rPr>
                <w:rFonts w:ascii="Calibri" w:hAnsi="Calibri" w:eastAsia="Microsoft YaHei"/>
                <w:b w:val="0"/>
                <w:sz w:val="14"/>
              </w:rPr>
              <w:t>0.1625</w:t>
            </w:r>
          </w:p>
        </w:tc>
        <w:tc>
          <w:tcPr>
            <w:tcW w:type="dxa" w:w="1040"/>
            <w:vAlign w:val="center"/>
          </w:tcPr>
          <w:p>
            <w:pPr>
              <w:spacing w:before="0" w:after="0" w:line="252" w:lineRule="auto"/>
              <w:jc w:val="center"/>
            </w:pPr>
            <w:r/>
            <w:r>
              <w:rPr>
                <w:rFonts w:ascii="Calibri" w:hAnsi="Calibri" w:eastAsia="Microsoft YaHei"/>
                <w:b w:val="0"/>
                <w:sz w:val="14"/>
              </w:rPr>
              <w:t>0.1049</w:t>
            </w:r>
          </w:p>
        </w:tc>
        <w:tc>
          <w:tcPr>
            <w:tcW w:type="dxa" w:w="1040"/>
            <w:vAlign w:val="center"/>
          </w:tcPr>
          <w:p>
            <w:pPr>
              <w:spacing w:before="0" w:after="0" w:line="252" w:lineRule="auto"/>
              <w:jc w:val="center"/>
            </w:pPr>
            <w:r/>
            <w:r>
              <w:rPr>
                <w:rFonts w:ascii="Calibri" w:hAnsi="Calibri" w:eastAsia="Microsoft YaHei"/>
                <w:b w:val="0"/>
                <w:sz w:val="14"/>
              </w:rPr>
              <w:t>0.5541</w:t>
            </w:r>
          </w:p>
        </w:tc>
        <w:tc>
          <w:tcPr>
            <w:tcW w:type="dxa" w:w="1040"/>
            <w:vAlign w:val="center"/>
          </w:tcPr>
          <w:p>
            <w:pPr>
              <w:spacing w:before="0" w:after="0" w:line="252" w:lineRule="auto"/>
              <w:jc w:val="center"/>
            </w:pPr>
            <w:r/>
            <w:r>
              <w:rPr>
                <w:rFonts w:ascii="Calibri" w:hAnsi="Calibri" w:eastAsia="Microsoft YaHei"/>
                <w:b w:val="0"/>
                <w:sz w:val="14"/>
              </w:rPr>
              <w:t>0.3166</w:t>
            </w:r>
          </w:p>
        </w:tc>
        <w:tc>
          <w:tcPr>
            <w:tcW w:type="dxa" w:w="1040"/>
            <w:vAlign w:val="center"/>
          </w:tcPr>
          <w:p>
            <w:pPr>
              <w:spacing w:before="0" w:after="0" w:line="252" w:lineRule="auto"/>
              <w:jc w:val="center"/>
            </w:pPr>
            <w:r/>
            <w:r>
              <w:rPr>
                <w:rFonts w:ascii="Calibri" w:hAnsi="Calibri" w:eastAsia="Microsoft YaHei"/>
                <w:b w:val="0"/>
                <w:sz w:val="14"/>
              </w:rPr>
              <w:t>0.1547</w:t>
            </w:r>
          </w:p>
        </w:tc>
        <w:tc>
          <w:tcPr>
            <w:tcW w:type="dxa" w:w="1040"/>
            <w:vAlign w:val="center"/>
          </w:tcPr>
          <w:p>
            <w:pPr>
              <w:spacing w:before="0" w:after="0" w:line="252" w:lineRule="auto"/>
              <w:jc w:val="center"/>
            </w:pPr>
            <w:r/>
            <w:r>
              <w:rPr>
                <w:rFonts w:ascii="Calibri" w:hAnsi="Calibri" w:eastAsia="Microsoft YaHei"/>
                <w:b w:val="0"/>
                <w:sz w:val="14"/>
              </w:rPr>
              <w:t>0.7848</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NeuMF</w:t>
            </w:r>
          </w:p>
        </w:tc>
        <w:tc>
          <w:tcPr>
            <w:tcW w:type="dxa" w:w="1040"/>
            <w:vAlign w:val="center"/>
          </w:tcPr>
          <w:p>
            <w:pPr>
              <w:spacing w:before="0" w:after="0" w:line="252" w:lineRule="auto"/>
              <w:jc w:val="center"/>
            </w:pPr>
            <w:r/>
            <w:r>
              <w:rPr>
                <w:rFonts w:ascii="Calibri" w:hAnsi="Calibri" w:eastAsia="Microsoft YaHei"/>
                <w:b w:val="0"/>
                <w:sz w:val="14"/>
              </w:rPr>
              <w:t>19</w:t>
            </w:r>
          </w:p>
        </w:tc>
        <w:tc>
          <w:tcPr>
            <w:tcW w:type="dxa" w:w="1040"/>
            <w:vAlign w:val="center"/>
          </w:tcPr>
          <w:p>
            <w:pPr>
              <w:spacing w:before="0" w:after="0" w:line="252" w:lineRule="auto"/>
              <w:jc w:val="center"/>
            </w:pPr>
            <w:r/>
            <w:r>
              <w:rPr>
                <w:rFonts w:ascii="Calibri" w:hAnsi="Calibri" w:eastAsia="Microsoft YaHei"/>
                <w:b w:val="0"/>
                <w:sz w:val="14"/>
              </w:rPr>
              <w:t>0.3548</w:t>
            </w:r>
          </w:p>
        </w:tc>
        <w:tc>
          <w:tcPr>
            <w:tcW w:type="dxa" w:w="1040"/>
            <w:vAlign w:val="center"/>
          </w:tcPr>
          <w:p>
            <w:pPr>
              <w:spacing w:before="0" w:after="0" w:line="252" w:lineRule="auto"/>
              <w:jc w:val="center"/>
            </w:pPr>
            <w:r/>
            <w:r>
              <w:rPr>
                <w:rFonts w:ascii="Calibri" w:hAnsi="Calibri" w:eastAsia="Microsoft YaHei"/>
                <w:b w:val="0"/>
                <w:sz w:val="14"/>
              </w:rPr>
              <w:t>0.2430</w:t>
            </w:r>
          </w:p>
        </w:tc>
        <w:tc>
          <w:tcPr>
            <w:tcW w:type="dxa" w:w="1040"/>
            <w:vAlign w:val="center"/>
          </w:tcPr>
          <w:p>
            <w:pPr>
              <w:spacing w:before="0" w:after="0" w:line="252" w:lineRule="auto"/>
              <w:jc w:val="center"/>
            </w:pPr>
            <w:r/>
            <w:r>
              <w:rPr>
                <w:rFonts w:ascii="Calibri" w:hAnsi="Calibri" w:eastAsia="Microsoft YaHei"/>
                <w:b w:val="0"/>
                <w:sz w:val="14"/>
              </w:rPr>
              <w:t>0.8221</w:t>
            </w:r>
          </w:p>
        </w:tc>
        <w:tc>
          <w:tcPr>
            <w:tcW w:type="dxa" w:w="1040"/>
            <w:vAlign w:val="center"/>
          </w:tcPr>
          <w:p>
            <w:pPr>
              <w:spacing w:before="0" w:after="0" w:line="252" w:lineRule="auto"/>
              <w:jc w:val="center"/>
            </w:pPr>
            <w:r/>
            <w:r>
              <w:rPr>
                <w:rFonts w:ascii="Calibri" w:hAnsi="Calibri" w:eastAsia="Microsoft YaHei"/>
                <w:b w:val="0"/>
                <w:sz w:val="14"/>
              </w:rPr>
              <w:t>0.5726</w:t>
            </w:r>
          </w:p>
        </w:tc>
        <w:tc>
          <w:tcPr>
            <w:tcW w:type="dxa" w:w="1040"/>
            <w:vAlign w:val="center"/>
          </w:tcPr>
          <w:p>
            <w:pPr>
              <w:spacing w:before="0" w:after="0" w:line="252" w:lineRule="auto"/>
              <w:jc w:val="center"/>
            </w:pPr>
            <w:r/>
            <w:r>
              <w:rPr>
                <w:rFonts w:ascii="Calibri" w:hAnsi="Calibri" w:eastAsia="Microsoft YaHei"/>
                <w:b w:val="0"/>
                <w:sz w:val="14"/>
              </w:rPr>
              <w:t>0.3168</w:t>
            </w:r>
          </w:p>
        </w:tc>
        <w:tc>
          <w:tcPr>
            <w:tcW w:type="dxa" w:w="1040"/>
            <w:vAlign w:val="center"/>
          </w:tcPr>
          <w:p>
            <w:pPr>
              <w:spacing w:before="0" w:after="0" w:line="252" w:lineRule="auto"/>
              <w:jc w:val="center"/>
            </w:pPr>
            <w:r/>
            <w:r>
              <w:rPr>
                <w:rFonts w:ascii="Calibri" w:hAnsi="Calibri" w:eastAsia="Microsoft YaHei"/>
                <w:b w:val="0"/>
                <w:sz w:val="14"/>
              </w:rPr>
              <w:t>0.9445</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NeuMFIPS</w:t>
            </w:r>
          </w:p>
        </w:tc>
        <w:tc>
          <w:tcPr>
            <w:tcW w:type="dxa" w:w="1040"/>
            <w:vAlign w:val="center"/>
          </w:tcPr>
          <w:p>
            <w:pPr>
              <w:spacing w:before="0" w:after="0" w:line="252" w:lineRule="auto"/>
              <w:jc w:val="center"/>
            </w:pPr>
            <w:r/>
            <w:r>
              <w:rPr>
                <w:rFonts w:ascii="Calibri" w:hAnsi="Calibri" w:eastAsia="Microsoft YaHei"/>
                <w:b w:val="0"/>
                <w:sz w:val="14"/>
              </w:rPr>
              <w:t>27</w:t>
            </w:r>
          </w:p>
        </w:tc>
        <w:tc>
          <w:tcPr>
            <w:tcW w:type="dxa" w:w="1040"/>
            <w:vAlign w:val="center"/>
          </w:tcPr>
          <w:p>
            <w:pPr>
              <w:spacing w:before="0" w:after="0" w:line="252" w:lineRule="auto"/>
              <w:jc w:val="center"/>
            </w:pPr>
            <w:r/>
            <w:r>
              <w:rPr>
                <w:rFonts w:ascii="Calibri" w:hAnsi="Calibri" w:eastAsia="Microsoft YaHei"/>
                <w:b w:val="0"/>
                <w:sz w:val="14"/>
              </w:rPr>
              <w:t>0.1100</w:t>
            </w:r>
          </w:p>
        </w:tc>
        <w:tc>
          <w:tcPr>
            <w:tcW w:type="dxa" w:w="1040"/>
            <w:vAlign w:val="center"/>
          </w:tcPr>
          <w:p>
            <w:pPr>
              <w:spacing w:before="0" w:after="0" w:line="252" w:lineRule="auto"/>
              <w:jc w:val="center"/>
            </w:pPr>
            <w:r/>
            <w:r>
              <w:rPr>
                <w:rFonts w:ascii="Calibri" w:hAnsi="Calibri" w:eastAsia="Microsoft YaHei"/>
                <w:b w:val="0"/>
                <w:sz w:val="14"/>
              </w:rPr>
              <w:t>0.0589</w:t>
            </w:r>
          </w:p>
        </w:tc>
        <w:tc>
          <w:tcPr>
            <w:tcW w:type="dxa" w:w="1040"/>
            <w:vAlign w:val="center"/>
          </w:tcPr>
          <w:p>
            <w:pPr>
              <w:spacing w:before="0" w:after="0" w:line="252" w:lineRule="auto"/>
              <w:jc w:val="center"/>
            </w:pPr>
            <w:r/>
            <w:r>
              <w:rPr>
                <w:rFonts w:ascii="Calibri" w:hAnsi="Calibri" w:eastAsia="Microsoft YaHei"/>
                <w:b w:val="0"/>
                <w:sz w:val="14"/>
              </w:rPr>
              <w:t>0.3402</w:t>
            </w:r>
          </w:p>
        </w:tc>
        <w:tc>
          <w:tcPr>
            <w:tcW w:type="dxa" w:w="1040"/>
            <w:vAlign w:val="center"/>
          </w:tcPr>
          <w:p>
            <w:pPr>
              <w:spacing w:before="0" w:after="0" w:line="252" w:lineRule="auto"/>
              <w:jc w:val="center"/>
            </w:pPr>
            <w:r/>
            <w:r>
              <w:rPr>
                <w:rFonts w:ascii="Calibri" w:hAnsi="Calibri" w:eastAsia="Microsoft YaHei"/>
                <w:b w:val="0"/>
                <w:sz w:val="14"/>
              </w:rPr>
              <w:t>0.2598</w:t>
            </w:r>
          </w:p>
        </w:tc>
        <w:tc>
          <w:tcPr>
            <w:tcW w:type="dxa" w:w="1040"/>
            <w:vAlign w:val="center"/>
          </w:tcPr>
          <w:p>
            <w:pPr>
              <w:spacing w:before="0" w:after="0" w:line="252" w:lineRule="auto"/>
              <w:jc w:val="center"/>
            </w:pPr>
            <w:r/>
            <w:r>
              <w:rPr>
                <w:rFonts w:ascii="Calibri" w:hAnsi="Calibri" w:eastAsia="Microsoft YaHei"/>
                <w:b w:val="0"/>
                <w:sz w:val="14"/>
              </w:rPr>
              <w:t>0.1058</w:t>
            </w:r>
          </w:p>
        </w:tc>
        <w:tc>
          <w:tcPr>
            <w:tcW w:type="dxa" w:w="1040"/>
            <w:vAlign w:val="center"/>
          </w:tcPr>
          <w:p>
            <w:pPr>
              <w:spacing w:before="0" w:after="0" w:line="252" w:lineRule="auto"/>
              <w:jc w:val="center"/>
            </w:pPr>
            <w:r/>
            <w:r>
              <w:rPr>
                <w:rFonts w:ascii="Calibri" w:hAnsi="Calibri" w:eastAsia="Microsoft YaHei"/>
                <w:b w:val="0"/>
                <w:sz w:val="14"/>
              </w:rPr>
              <w:t>0.6329</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NeuMFDICE</w:t>
            </w:r>
          </w:p>
        </w:tc>
        <w:tc>
          <w:tcPr>
            <w:tcW w:type="dxa" w:w="1040"/>
            <w:vAlign w:val="center"/>
          </w:tcPr>
          <w:p>
            <w:pPr>
              <w:spacing w:before="0" w:after="0" w:line="252" w:lineRule="auto"/>
              <w:jc w:val="center"/>
            </w:pPr>
            <w:r/>
            <w:r>
              <w:rPr>
                <w:rFonts w:ascii="Calibri" w:hAnsi="Calibri" w:eastAsia="Microsoft YaHei"/>
                <w:b w:val="0"/>
                <w:sz w:val="14"/>
              </w:rPr>
              <w:t>18</w:t>
            </w:r>
          </w:p>
        </w:tc>
        <w:tc>
          <w:tcPr>
            <w:tcW w:type="dxa" w:w="1040"/>
            <w:vAlign w:val="center"/>
          </w:tcPr>
          <w:p>
            <w:pPr>
              <w:spacing w:before="0" w:after="0" w:line="252" w:lineRule="auto"/>
              <w:jc w:val="center"/>
            </w:pPr>
            <w:r/>
            <w:r>
              <w:rPr>
                <w:rFonts w:ascii="Calibri" w:hAnsi="Calibri" w:eastAsia="Microsoft YaHei"/>
                <w:b w:val="0"/>
                <w:sz w:val="14"/>
              </w:rPr>
              <w:t>0.1000</w:t>
            </w:r>
          </w:p>
        </w:tc>
        <w:tc>
          <w:tcPr>
            <w:tcW w:type="dxa" w:w="1040"/>
            <w:vAlign w:val="center"/>
          </w:tcPr>
          <w:p>
            <w:pPr>
              <w:spacing w:before="0" w:after="0" w:line="252" w:lineRule="auto"/>
              <w:jc w:val="center"/>
            </w:pPr>
            <w:r/>
            <w:r>
              <w:rPr>
                <w:rFonts w:ascii="Calibri" w:hAnsi="Calibri" w:eastAsia="Microsoft YaHei"/>
                <w:b w:val="0"/>
                <w:sz w:val="14"/>
              </w:rPr>
              <w:t>0.0579</w:t>
            </w:r>
          </w:p>
        </w:tc>
        <w:tc>
          <w:tcPr>
            <w:tcW w:type="dxa" w:w="1040"/>
            <w:vAlign w:val="center"/>
          </w:tcPr>
          <w:p>
            <w:pPr>
              <w:spacing w:before="0" w:after="0" w:line="252" w:lineRule="auto"/>
              <w:jc w:val="center"/>
            </w:pPr>
            <w:r/>
            <w:r>
              <w:rPr>
                <w:rFonts w:ascii="Calibri" w:hAnsi="Calibri" w:eastAsia="Microsoft YaHei"/>
                <w:b w:val="0"/>
                <w:sz w:val="14"/>
              </w:rPr>
              <w:t>0.3642</w:t>
            </w:r>
          </w:p>
        </w:tc>
        <w:tc>
          <w:tcPr>
            <w:tcW w:type="dxa" w:w="1040"/>
            <w:vAlign w:val="center"/>
          </w:tcPr>
          <w:p>
            <w:pPr>
              <w:spacing w:before="0" w:after="0" w:line="252" w:lineRule="auto"/>
              <w:jc w:val="center"/>
            </w:pPr>
            <w:r/>
            <w:r>
              <w:rPr>
                <w:rFonts w:ascii="Calibri" w:hAnsi="Calibri" w:eastAsia="Microsoft YaHei"/>
                <w:b w:val="0"/>
                <w:sz w:val="14"/>
              </w:rPr>
              <w:t>0.2327</w:t>
            </w:r>
          </w:p>
        </w:tc>
        <w:tc>
          <w:tcPr>
            <w:tcW w:type="dxa" w:w="1040"/>
            <w:vAlign w:val="center"/>
          </w:tcPr>
          <w:p>
            <w:pPr>
              <w:spacing w:before="0" w:after="0" w:line="252" w:lineRule="auto"/>
              <w:jc w:val="center"/>
            </w:pPr>
            <w:r/>
            <w:r>
              <w:rPr>
                <w:rFonts w:ascii="Calibri" w:hAnsi="Calibri" w:eastAsia="Microsoft YaHei"/>
                <w:b w:val="0"/>
                <w:sz w:val="14"/>
              </w:rPr>
              <w:t>0.0997</w:t>
            </w:r>
          </w:p>
        </w:tc>
        <w:tc>
          <w:tcPr>
            <w:tcW w:type="dxa" w:w="1040"/>
            <w:vAlign w:val="center"/>
          </w:tcPr>
          <w:p>
            <w:pPr>
              <w:spacing w:before="0" w:after="0" w:line="252" w:lineRule="auto"/>
              <w:jc w:val="center"/>
            </w:pPr>
            <w:r/>
            <w:r>
              <w:rPr>
                <w:rFonts w:ascii="Calibri" w:hAnsi="Calibri" w:eastAsia="Microsoft YaHei"/>
                <w:b w:val="0"/>
                <w:sz w:val="14"/>
              </w:rPr>
              <w:t>0.6327</w:t>
            </w:r>
          </w:p>
        </w:tc>
      </w:tr>
    </w:tbl>
    <w:p>
      <w:pPr>
        <w:spacing w:before="0" w:after="40" w:line="264" w:lineRule="auto"/>
      </w:pPr>
      <w:r>
        <w:rPr>
          <w:rFonts w:ascii="Calibri" w:hAnsi="Calibri" w:eastAsia="Microsoft YaHei"/>
          <w:b w:val="0"/>
          <w:i w:val="0"/>
          <w:sz w:val="22"/>
        </w:rPr>
      </w:r>
    </w:p>
    <w:p>
      <w:pPr>
        <w:jc w:val="center"/>
      </w:pPr>
      <w:r>
        <w:drawing>
          <wp:inline xmlns:a="http://schemas.openxmlformats.org/drawingml/2006/main" xmlns:pic="http://schemas.openxmlformats.org/drawingml/2006/picture">
            <wp:extent cx="5577840" cy="3063884"/>
            <wp:docPr id="1" name="Picture 1"/>
            <wp:cNvGraphicFramePr>
              <a:graphicFrameLocks noChangeAspect="1"/>
            </wp:cNvGraphicFramePr>
            <a:graphic>
              <a:graphicData uri="http://schemas.openxmlformats.org/drawingml/2006/picture">
                <pic:pic>
                  <pic:nvPicPr>
                    <pic:cNvPr id="0" name="fig1_neumf_recall20.png"/>
                    <pic:cNvPicPr/>
                  </pic:nvPicPr>
                  <pic:blipFill>
                    <a:blip r:embed="rId11"/>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NeuMF 系列模型在三类测试分布上的 Recall@20</w:t>
      </w:r>
    </w:p>
    <w:p>
      <w:pPr>
        <w:pStyle w:val="Heading2"/>
        <w:keepNext/>
      </w:pPr>
      <w:r>
        <w:rPr>
          <w:rFonts w:ascii="Calibri" w:hAnsi="Calibri" w:eastAsia="Microsoft YaHei"/>
          <w:b/>
          <w:color w:val="2E74B5"/>
          <w:sz w:val="26"/>
        </w:rPr>
        <w:t>4.3 结果解释</w:t>
      </w:r>
    </w:p>
    <w:p>
      <w:pPr>
        <w:pStyle w:val="ListBullet"/>
        <w:spacing w:after="80"/>
      </w:pPr>
      <w:r>
        <w:rPr>
          <w:rFonts w:ascii="Calibri" w:hAnsi="Calibri" w:eastAsia="Microsoft YaHei"/>
          <w:sz w:val="21"/>
        </w:rPr>
        <w:t>Longtail：NeuMFDICE 的 Recall@20 为 0.1551，高于 NeuMF 的 0.1491，说明 DICE 目标在长尾测试上带来小幅收益。</w:t>
      </w:r>
    </w:p>
    <w:p>
      <w:pPr>
        <w:pStyle w:val="ListBullet"/>
        <w:spacing w:after="80"/>
      </w:pPr>
      <w:r>
        <w:rPr>
          <w:rFonts w:ascii="Calibri" w:hAnsi="Calibri" w:eastAsia="Microsoft YaHei"/>
          <w:sz w:val="21"/>
        </w:rPr>
        <w:t>Uniform：NeuMFDICE 明显低于 NeuMF，说明去偏约束会牺牲一部分整体准确率。</w:t>
      </w:r>
    </w:p>
    <w:p>
      <w:pPr>
        <w:pStyle w:val="ListBullet"/>
        <w:spacing w:after="80"/>
      </w:pPr>
      <w:r>
        <w:rPr>
          <w:rFonts w:ascii="Calibri" w:hAnsi="Calibri" w:eastAsia="Microsoft YaHei"/>
          <w:sz w:val="21"/>
        </w:rPr>
        <w:t>Head：NeuMFDICE 低于 NeuMF 幅度最大，说明模型不再单纯迎合热门物品分布，这是去热门偏置的直接表现。</w:t>
      </w:r>
    </w:p>
    <w:p>
      <w:pPr>
        <w:spacing w:after="120" w:line="264" w:lineRule="auto"/>
      </w:pPr>
      <w:r>
        <w:rPr>
          <w:rFonts w:ascii="Calibri" w:hAnsi="Calibri" w:eastAsia="Microsoft YaHei"/>
          <w:b w:val="0"/>
          <w:sz w:val="22"/>
        </w:rPr>
        <w:t>因此，NeuMF 实验支持四星要求中的“更换基础模型并验证方法是否有效”。但报告中必须谨慎表述：DICE 的收益主要体现在长尾去偏目标，而不是所有测试分布的准确率全面提升。</w:t>
      </w:r>
    </w:p>
    <w:p>
      <w:pPr>
        <w:pStyle w:val="Heading1"/>
        <w:keepNext/>
      </w:pPr>
      <w:r>
        <w:rPr>
          <w:rFonts w:ascii="Calibri" w:hAnsi="Calibri" w:eastAsia="Microsoft YaHei"/>
          <w:b/>
          <w:color w:val="2E74B5"/>
          <w:sz w:val="32"/>
        </w:rPr>
        <w:t>5. 四星扩展二：NGCF-DICE</w:t>
      </w:r>
    </w:p>
    <w:p>
      <w:pPr>
        <w:pStyle w:val="Heading2"/>
        <w:keepNext/>
      </w:pPr>
      <w:r>
        <w:rPr>
          <w:rFonts w:ascii="Calibri" w:hAnsi="Calibri" w:eastAsia="Microsoft YaHei"/>
          <w:b/>
          <w:color w:val="2E74B5"/>
          <w:sz w:val="26"/>
        </w:rPr>
        <w:t>5.1 扩展动机</w:t>
      </w:r>
    </w:p>
    <w:p>
      <w:pPr>
        <w:spacing w:after="120" w:line="264" w:lineRule="auto"/>
      </w:pPr>
      <w:r>
        <w:rPr>
          <w:rFonts w:ascii="Calibri" w:hAnsi="Calibri" w:eastAsia="Microsoft YaHei"/>
          <w:b w:val="0"/>
          <w:sz w:val="22"/>
        </w:rPr>
        <w:t>在完成 NeuMF 后，本项目进一步引入 NGCF 作为图协同过滤 backbone。NGCF 利用用户-物品交互图进行高阶邻居信息传播，相比 NeuMF 更强调图结构中的协同信号。若 DICE 在 NGCF 上仍然有效，说明该方法的可迁移性更强，不局限于普通神经协同过滤结构。</w:t>
      </w:r>
    </w:p>
    <w:p>
      <w:pPr>
        <w:pStyle w:val="Heading2"/>
        <w:keepNext/>
      </w:pPr>
      <w:r>
        <w:rPr>
          <w:rFonts w:ascii="Calibri" w:hAnsi="Calibri" w:eastAsia="Microsoft YaHei"/>
          <w:b/>
          <w:color w:val="2E74B5"/>
          <w:sz w:val="26"/>
        </w:rPr>
        <w:t>5.2 NGCF 主实验结果</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E8EEF5"/>
          </w:tcPr>
          <w:p>
            <w:pPr>
              <w:spacing w:before="0" w:after="0" w:line="252" w:lineRule="auto"/>
              <w:jc w:val="center"/>
            </w:pPr>
            <w:r/>
            <w:r>
              <w:rPr>
                <w:rFonts w:ascii="Calibri" w:hAnsi="Calibri" w:eastAsia="Microsoft YaHei"/>
                <w:b/>
                <w:sz w:val="15"/>
              </w:rPr>
              <w:t>Split</w:t>
            </w:r>
          </w:p>
        </w:tc>
        <w:tc>
          <w:tcPr>
            <w:tcW w:type="dxa" w:w="1040"/>
            <w:vAlign w:val="center"/>
            <w:shd w:fill="E8EEF5"/>
          </w:tcPr>
          <w:p>
            <w:pPr>
              <w:spacing w:before="0" w:after="0" w:line="252" w:lineRule="auto"/>
              <w:jc w:val="center"/>
            </w:pPr>
            <w:r/>
            <w:r>
              <w:rPr>
                <w:rFonts w:ascii="Calibri" w:hAnsi="Calibri" w:eastAsia="Microsoft YaHei"/>
                <w:b/>
                <w:sz w:val="15"/>
              </w:rPr>
              <w:t>Model</w:t>
            </w:r>
          </w:p>
        </w:tc>
        <w:tc>
          <w:tcPr>
            <w:tcW w:type="dxa" w:w="1040"/>
            <w:vAlign w:val="center"/>
            <w:shd w:fill="E8EEF5"/>
          </w:tcPr>
          <w:p>
            <w:pPr>
              <w:spacing w:before="0" w:after="0" w:line="252" w:lineRule="auto"/>
              <w:jc w:val="center"/>
            </w:pPr>
            <w:r/>
            <w:r>
              <w:rPr>
                <w:rFonts w:ascii="Calibri" w:hAnsi="Calibri" w:eastAsia="Microsoft YaHei"/>
                <w:b/>
                <w:sz w:val="15"/>
              </w:rPr>
              <w:t>Best</w:t>
            </w:r>
          </w:p>
        </w:tc>
        <w:tc>
          <w:tcPr>
            <w:tcW w:type="dxa" w:w="1040"/>
            <w:vAlign w:val="center"/>
            <w:shd w:fill="E8EEF5"/>
          </w:tcPr>
          <w:p>
            <w:pPr>
              <w:spacing w:before="0" w:after="0" w:line="252" w:lineRule="auto"/>
              <w:jc w:val="center"/>
            </w:pPr>
            <w:r/>
            <w:r>
              <w:rPr>
                <w:rFonts w:ascii="Calibri" w:hAnsi="Calibri" w:eastAsia="Microsoft YaHei"/>
                <w:b/>
                <w:sz w:val="15"/>
              </w:rPr>
              <w:t>R@20</w:t>
            </w:r>
          </w:p>
        </w:tc>
        <w:tc>
          <w:tcPr>
            <w:tcW w:type="dxa" w:w="1040"/>
            <w:vAlign w:val="center"/>
            <w:shd w:fill="E8EEF5"/>
          </w:tcPr>
          <w:p>
            <w:pPr>
              <w:spacing w:before="0" w:after="0" w:line="252" w:lineRule="auto"/>
              <w:jc w:val="center"/>
            </w:pPr>
            <w:r/>
            <w:r>
              <w:rPr>
                <w:rFonts w:ascii="Calibri" w:hAnsi="Calibri" w:eastAsia="Microsoft YaHei"/>
                <w:b/>
                <w:sz w:val="15"/>
              </w:rPr>
              <w:t>N@20</w:t>
            </w:r>
          </w:p>
        </w:tc>
        <w:tc>
          <w:tcPr>
            <w:tcW w:type="dxa" w:w="1040"/>
            <w:vAlign w:val="center"/>
            <w:shd w:fill="E8EEF5"/>
          </w:tcPr>
          <w:p>
            <w:pPr>
              <w:spacing w:before="0" w:after="0" w:line="252" w:lineRule="auto"/>
              <w:jc w:val="center"/>
            </w:pPr>
            <w:r/>
            <w:r>
              <w:rPr>
                <w:rFonts w:ascii="Calibri" w:hAnsi="Calibri" w:eastAsia="Microsoft YaHei"/>
                <w:b/>
                <w:sz w:val="15"/>
              </w:rPr>
              <w:t>HR@20</w:t>
            </w:r>
          </w:p>
        </w:tc>
        <w:tc>
          <w:tcPr>
            <w:tcW w:type="dxa" w:w="1040"/>
            <w:vAlign w:val="center"/>
            <w:shd w:fill="E8EEF5"/>
          </w:tcPr>
          <w:p>
            <w:pPr>
              <w:spacing w:before="0" w:after="0" w:line="252" w:lineRule="auto"/>
              <w:jc w:val="center"/>
            </w:pPr>
            <w:r/>
            <w:r>
              <w:rPr>
                <w:rFonts w:ascii="Calibri" w:hAnsi="Calibri" w:eastAsia="Microsoft YaHei"/>
                <w:b/>
                <w:sz w:val="15"/>
              </w:rPr>
              <w:t>R@50</w:t>
            </w:r>
          </w:p>
        </w:tc>
        <w:tc>
          <w:tcPr>
            <w:tcW w:type="dxa" w:w="1040"/>
            <w:vAlign w:val="center"/>
            <w:shd w:fill="E8EEF5"/>
          </w:tcPr>
          <w:p>
            <w:pPr>
              <w:spacing w:before="0" w:after="0" w:line="252" w:lineRule="auto"/>
              <w:jc w:val="center"/>
            </w:pPr>
            <w:r/>
            <w:r>
              <w:rPr>
                <w:rFonts w:ascii="Calibri" w:hAnsi="Calibri" w:eastAsia="Microsoft YaHei"/>
                <w:b/>
                <w:sz w:val="15"/>
              </w:rPr>
              <w:t>N@50</w:t>
            </w:r>
          </w:p>
        </w:tc>
        <w:tc>
          <w:tcPr>
            <w:tcW w:type="dxa" w:w="1040"/>
            <w:vAlign w:val="center"/>
            <w:shd w:fill="E8EEF5"/>
          </w:tcPr>
          <w:p>
            <w:pPr>
              <w:spacing w:before="0" w:after="0" w:line="252" w:lineRule="auto"/>
              <w:jc w:val="center"/>
            </w:pPr>
            <w:r/>
            <w:r>
              <w:rPr>
                <w:rFonts w:ascii="Calibri" w:hAnsi="Calibri" w:eastAsia="Microsoft YaHei"/>
                <w:b/>
                <w:sz w:val="15"/>
              </w:rPr>
              <w:t>HR@50</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NGCF</w:t>
            </w:r>
          </w:p>
        </w:tc>
        <w:tc>
          <w:tcPr>
            <w:tcW w:type="dxa" w:w="1040"/>
            <w:vAlign w:val="center"/>
          </w:tcPr>
          <w:p>
            <w:pPr>
              <w:spacing w:before="0" w:after="0" w:line="252" w:lineRule="auto"/>
              <w:jc w:val="center"/>
            </w:pPr>
            <w:r/>
            <w:r>
              <w:rPr>
                <w:rFonts w:ascii="Calibri" w:hAnsi="Calibri" w:eastAsia="Microsoft YaHei"/>
                <w:b w:val="0"/>
                <w:sz w:val="14"/>
              </w:rPr>
              <w:t>40</w:t>
            </w:r>
          </w:p>
        </w:tc>
        <w:tc>
          <w:tcPr>
            <w:tcW w:type="dxa" w:w="1040"/>
            <w:vAlign w:val="center"/>
          </w:tcPr>
          <w:p>
            <w:pPr>
              <w:spacing w:before="0" w:after="0" w:line="252" w:lineRule="auto"/>
              <w:jc w:val="center"/>
            </w:pPr>
            <w:r/>
            <w:r>
              <w:rPr>
                <w:rFonts w:ascii="Calibri" w:hAnsi="Calibri" w:eastAsia="Microsoft YaHei"/>
                <w:b w:val="0"/>
                <w:sz w:val="14"/>
              </w:rPr>
              <w:t>0.1393</w:t>
            </w:r>
          </w:p>
        </w:tc>
        <w:tc>
          <w:tcPr>
            <w:tcW w:type="dxa" w:w="1040"/>
            <w:vAlign w:val="center"/>
          </w:tcPr>
          <w:p>
            <w:pPr>
              <w:spacing w:before="0" w:after="0" w:line="252" w:lineRule="auto"/>
              <w:jc w:val="center"/>
            </w:pPr>
            <w:r/>
            <w:r>
              <w:rPr>
                <w:rFonts w:ascii="Calibri" w:hAnsi="Calibri" w:eastAsia="Microsoft YaHei"/>
                <w:b w:val="0"/>
                <w:sz w:val="14"/>
              </w:rPr>
              <w:t>0.0923</w:t>
            </w:r>
          </w:p>
        </w:tc>
        <w:tc>
          <w:tcPr>
            <w:tcW w:type="dxa" w:w="1040"/>
            <w:vAlign w:val="center"/>
          </w:tcPr>
          <w:p>
            <w:pPr>
              <w:spacing w:before="0" w:after="0" w:line="252" w:lineRule="auto"/>
              <w:jc w:val="center"/>
            </w:pPr>
            <w:r/>
            <w:r>
              <w:rPr>
                <w:rFonts w:ascii="Calibri" w:hAnsi="Calibri" w:eastAsia="Microsoft YaHei"/>
                <w:b w:val="0"/>
                <w:sz w:val="14"/>
              </w:rPr>
              <w:t>0.4837</w:t>
            </w:r>
          </w:p>
        </w:tc>
        <w:tc>
          <w:tcPr>
            <w:tcW w:type="dxa" w:w="1040"/>
            <w:vAlign w:val="center"/>
          </w:tcPr>
          <w:p>
            <w:pPr>
              <w:spacing w:before="0" w:after="0" w:line="252" w:lineRule="auto"/>
              <w:jc w:val="center"/>
            </w:pPr>
            <w:r/>
            <w:r>
              <w:rPr>
                <w:rFonts w:ascii="Calibri" w:hAnsi="Calibri" w:eastAsia="Microsoft YaHei"/>
                <w:b w:val="0"/>
                <w:sz w:val="14"/>
              </w:rPr>
              <w:t>0.2577</w:t>
            </w:r>
          </w:p>
        </w:tc>
        <w:tc>
          <w:tcPr>
            <w:tcW w:type="dxa" w:w="1040"/>
            <w:vAlign w:val="center"/>
          </w:tcPr>
          <w:p>
            <w:pPr>
              <w:spacing w:before="0" w:after="0" w:line="252" w:lineRule="auto"/>
              <w:jc w:val="center"/>
            </w:pPr>
            <w:r/>
            <w:r>
              <w:rPr>
                <w:rFonts w:ascii="Calibri" w:hAnsi="Calibri" w:eastAsia="Microsoft YaHei"/>
                <w:b w:val="0"/>
                <w:sz w:val="14"/>
              </w:rPr>
              <w:t>0.1317</w:t>
            </w:r>
          </w:p>
        </w:tc>
        <w:tc>
          <w:tcPr>
            <w:tcW w:type="dxa" w:w="1040"/>
            <w:vAlign w:val="center"/>
          </w:tcPr>
          <w:p>
            <w:pPr>
              <w:spacing w:before="0" w:after="0" w:line="252" w:lineRule="auto"/>
              <w:jc w:val="center"/>
            </w:pPr>
            <w:r/>
            <w:r>
              <w:rPr>
                <w:rFonts w:ascii="Calibri" w:hAnsi="Calibri" w:eastAsia="Microsoft YaHei"/>
                <w:b w:val="0"/>
                <w:sz w:val="14"/>
              </w:rPr>
              <w:t>0.6909</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NGCFIPS</w:t>
            </w:r>
          </w:p>
        </w:tc>
        <w:tc>
          <w:tcPr>
            <w:tcW w:type="dxa" w:w="1040"/>
            <w:vAlign w:val="center"/>
          </w:tcPr>
          <w:p>
            <w:pPr>
              <w:spacing w:before="0" w:after="0" w:line="252" w:lineRule="auto"/>
              <w:jc w:val="center"/>
            </w:pPr>
            <w:r/>
            <w:r>
              <w:rPr>
                <w:rFonts w:ascii="Calibri" w:hAnsi="Calibri" w:eastAsia="Microsoft YaHei"/>
                <w:b w:val="0"/>
                <w:sz w:val="14"/>
              </w:rPr>
              <w:t>49</w:t>
            </w:r>
          </w:p>
        </w:tc>
        <w:tc>
          <w:tcPr>
            <w:tcW w:type="dxa" w:w="1040"/>
            <w:vAlign w:val="center"/>
          </w:tcPr>
          <w:p>
            <w:pPr>
              <w:spacing w:before="0" w:after="0" w:line="252" w:lineRule="auto"/>
              <w:jc w:val="center"/>
            </w:pPr>
            <w:r/>
            <w:r>
              <w:rPr>
                <w:rFonts w:ascii="Calibri" w:hAnsi="Calibri" w:eastAsia="Microsoft YaHei"/>
                <w:b w:val="0"/>
                <w:sz w:val="14"/>
              </w:rPr>
              <w:t>0.1544</w:t>
            </w:r>
          </w:p>
        </w:tc>
        <w:tc>
          <w:tcPr>
            <w:tcW w:type="dxa" w:w="1040"/>
            <w:vAlign w:val="center"/>
          </w:tcPr>
          <w:p>
            <w:pPr>
              <w:spacing w:before="0" w:after="0" w:line="252" w:lineRule="auto"/>
              <w:jc w:val="center"/>
            </w:pPr>
            <w:r/>
            <w:r>
              <w:rPr>
                <w:rFonts w:ascii="Calibri" w:hAnsi="Calibri" w:eastAsia="Microsoft YaHei"/>
                <w:b w:val="0"/>
                <w:sz w:val="14"/>
              </w:rPr>
              <w:t>0.1035</w:t>
            </w:r>
          </w:p>
        </w:tc>
        <w:tc>
          <w:tcPr>
            <w:tcW w:type="dxa" w:w="1040"/>
            <w:vAlign w:val="center"/>
          </w:tcPr>
          <w:p>
            <w:pPr>
              <w:spacing w:before="0" w:after="0" w:line="252" w:lineRule="auto"/>
              <w:jc w:val="center"/>
            </w:pPr>
            <w:r/>
            <w:r>
              <w:rPr>
                <w:rFonts w:ascii="Calibri" w:hAnsi="Calibri" w:eastAsia="Microsoft YaHei"/>
                <w:b w:val="0"/>
                <w:sz w:val="14"/>
              </w:rPr>
              <w:t>0.5255</w:t>
            </w:r>
          </w:p>
        </w:tc>
        <w:tc>
          <w:tcPr>
            <w:tcW w:type="dxa" w:w="1040"/>
            <w:vAlign w:val="center"/>
          </w:tcPr>
          <w:p>
            <w:pPr>
              <w:spacing w:before="0" w:after="0" w:line="252" w:lineRule="auto"/>
              <w:jc w:val="center"/>
            </w:pPr>
            <w:r/>
            <w:r>
              <w:rPr>
                <w:rFonts w:ascii="Calibri" w:hAnsi="Calibri" w:eastAsia="Microsoft YaHei"/>
                <w:b w:val="0"/>
                <w:sz w:val="14"/>
              </w:rPr>
              <w:t>0.2798</w:t>
            </w:r>
          </w:p>
        </w:tc>
        <w:tc>
          <w:tcPr>
            <w:tcW w:type="dxa" w:w="1040"/>
            <w:vAlign w:val="center"/>
          </w:tcPr>
          <w:p>
            <w:pPr>
              <w:spacing w:before="0" w:after="0" w:line="252" w:lineRule="auto"/>
              <w:jc w:val="center"/>
            </w:pPr>
            <w:r/>
            <w:r>
              <w:rPr>
                <w:rFonts w:ascii="Calibri" w:hAnsi="Calibri" w:eastAsia="Microsoft YaHei"/>
                <w:b w:val="0"/>
                <w:sz w:val="14"/>
              </w:rPr>
              <w:t>0.1447</w:t>
            </w:r>
          </w:p>
        </w:tc>
        <w:tc>
          <w:tcPr>
            <w:tcW w:type="dxa" w:w="1040"/>
            <w:vAlign w:val="center"/>
          </w:tcPr>
          <w:p>
            <w:pPr>
              <w:spacing w:before="0" w:after="0" w:line="252" w:lineRule="auto"/>
              <w:jc w:val="center"/>
            </w:pPr>
            <w:r/>
            <w:r>
              <w:rPr>
                <w:rFonts w:ascii="Calibri" w:hAnsi="Calibri" w:eastAsia="Microsoft YaHei"/>
                <w:b w:val="0"/>
                <w:sz w:val="14"/>
              </w:rPr>
              <w:t>0.7216</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NGCFDICE</w:t>
            </w:r>
          </w:p>
        </w:tc>
        <w:tc>
          <w:tcPr>
            <w:tcW w:type="dxa" w:w="1040"/>
            <w:vAlign w:val="center"/>
          </w:tcPr>
          <w:p>
            <w:pPr>
              <w:spacing w:before="0" w:after="0" w:line="252" w:lineRule="auto"/>
              <w:jc w:val="center"/>
            </w:pPr>
            <w:r/>
            <w:r>
              <w:rPr>
                <w:rFonts w:ascii="Calibri" w:hAnsi="Calibri" w:eastAsia="Microsoft YaHei"/>
                <w:b w:val="0"/>
                <w:sz w:val="14"/>
              </w:rPr>
              <w:t>15</w:t>
            </w:r>
          </w:p>
        </w:tc>
        <w:tc>
          <w:tcPr>
            <w:tcW w:type="dxa" w:w="1040"/>
            <w:vAlign w:val="center"/>
          </w:tcPr>
          <w:p>
            <w:pPr>
              <w:spacing w:before="0" w:after="0" w:line="252" w:lineRule="auto"/>
              <w:jc w:val="center"/>
            </w:pPr>
            <w:r/>
            <w:r>
              <w:rPr>
                <w:rFonts w:ascii="Calibri" w:hAnsi="Calibri" w:eastAsia="Microsoft YaHei"/>
                <w:b w:val="0"/>
                <w:sz w:val="14"/>
              </w:rPr>
              <w:t>0.1769</w:t>
            </w:r>
          </w:p>
        </w:tc>
        <w:tc>
          <w:tcPr>
            <w:tcW w:type="dxa" w:w="1040"/>
            <w:vAlign w:val="center"/>
          </w:tcPr>
          <w:p>
            <w:pPr>
              <w:spacing w:before="0" w:after="0" w:line="252" w:lineRule="auto"/>
              <w:jc w:val="center"/>
            </w:pPr>
            <w:r/>
            <w:r>
              <w:rPr>
                <w:rFonts w:ascii="Calibri" w:hAnsi="Calibri" w:eastAsia="Microsoft YaHei"/>
                <w:b w:val="0"/>
                <w:sz w:val="14"/>
              </w:rPr>
              <w:t>0.1198</w:t>
            </w:r>
          </w:p>
        </w:tc>
        <w:tc>
          <w:tcPr>
            <w:tcW w:type="dxa" w:w="1040"/>
            <w:vAlign w:val="center"/>
          </w:tcPr>
          <w:p>
            <w:pPr>
              <w:spacing w:before="0" w:after="0" w:line="252" w:lineRule="auto"/>
              <w:jc w:val="center"/>
            </w:pPr>
            <w:r/>
            <w:r>
              <w:rPr>
                <w:rFonts w:ascii="Calibri" w:hAnsi="Calibri" w:eastAsia="Microsoft YaHei"/>
                <w:b w:val="0"/>
                <w:sz w:val="14"/>
              </w:rPr>
              <w:t>0.5781</w:t>
            </w:r>
          </w:p>
        </w:tc>
        <w:tc>
          <w:tcPr>
            <w:tcW w:type="dxa" w:w="1040"/>
            <w:vAlign w:val="center"/>
          </w:tcPr>
          <w:p>
            <w:pPr>
              <w:spacing w:before="0" w:after="0" w:line="252" w:lineRule="auto"/>
              <w:jc w:val="center"/>
            </w:pPr>
            <w:r/>
            <w:r>
              <w:rPr>
                <w:rFonts w:ascii="Calibri" w:hAnsi="Calibri" w:eastAsia="Microsoft YaHei"/>
                <w:b w:val="0"/>
                <w:sz w:val="14"/>
              </w:rPr>
              <w:t>0.3155</w:t>
            </w:r>
          </w:p>
        </w:tc>
        <w:tc>
          <w:tcPr>
            <w:tcW w:type="dxa" w:w="1040"/>
            <w:vAlign w:val="center"/>
          </w:tcPr>
          <w:p>
            <w:pPr>
              <w:spacing w:before="0" w:after="0" w:line="252" w:lineRule="auto"/>
              <w:jc w:val="center"/>
            </w:pPr>
            <w:r/>
            <w:r>
              <w:rPr>
                <w:rFonts w:ascii="Calibri" w:hAnsi="Calibri" w:eastAsia="Microsoft YaHei"/>
                <w:b w:val="0"/>
                <w:sz w:val="14"/>
              </w:rPr>
              <w:t>0.1652</w:t>
            </w:r>
          </w:p>
        </w:tc>
        <w:tc>
          <w:tcPr>
            <w:tcW w:type="dxa" w:w="1040"/>
            <w:vAlign w:val="center"/>
          </w:tcPr>
          <w:p>
            <w:pPr>
              <w:spacing w:before="0" w:after="0" w:line="252" w:lineRule="auto"/>
              <w:jc w:val="center"/>
            </w:pPr>
            <w:r/>
            <w:r>
              <w:rPr>
                <w:rFonts w:ascii="Calibri" w:hAnsi="Calibri" w:eastAsia="Microsoft YaHei"/>
                <w:b w:val="0"/>
                <w:sz w:val="14"/>
              </w:rPr>
              <w:t>0.7717</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NGCF</w:t>
            </w:r>
          </w:p>
        </w:tc>
        <w:tc>
          <w:tcPr>
            <w:tcW w:type="dxa" w:w="1040"/>
            <w:vAlign w:val="center"/>
          </w:tcPr>
          <w:p>
            <w:pPr>
              <w:spacing w:before="0" w:after="0" w:line="252" w:lineRule="auto"/>
              <w:jc w:val="center"/>
            </w:pPr>
            <w:r/>
            <w:r>
              <w:rPr>
                <w:rFonts w:ascii="Calibri" w:hAnsi="Calibri" w:eastAsia="Microsoft YaHei"/>
                <w:b w:val="0"/>
                <w:sz w:val="14"/>
              </w:rPr>
              <w:t>37</w:t>
            </w:r>
          </w:p>
        </w:tc>
        <w:tc>
          <w:tcPr>
            <w:tcW w:type="dxa" w:w="1040"/>
            <w:vAlign w:val="center"/>
          </w:tcPr>
          <w:p>
            <w:pPr>
              <w:spacing w:before="0" w:after="0" w:line="252" w:lineRule="auto"/>
              <w:jc w:val="center"/>
            </w:pPr>
            <w:r/>
            <w:r>
              <w:rPr>
                <w:rFonts w:ascii="Calibri" w:hAnsi="Calibri" w:eastAsia="Microsoft YaHei"/>
                <w:b w:val="0"/>
                <w:sz w:val="14"/>
              </w:rPr>
              <w:t>0.3156</w:t>
            </w:r>
          </w:p>
        </w:tc>
        <w:tc>
          <w:tcPr>
            <w:tcW w:type="dxa" w:w="1040"/>
            <w:vAlign w:val="center"/>
          </w:tcPr>
          <w:p>
            <w:pPr>
              <w:spacing w:before="0" w:after="0" w:line="252" w:lineRule="auto"/>
              <w:jc w:val="center"/>
            </w:pPr>
            <w:r/>
            <w:r>
              <w:rPr>
                <w:rFonts w:ascii="Calibri" w:hAnsi="Calibri" w:eastAsia="Microsoft YaHei"/>
                <w:b w:val="0"/>
                <w:sz w:val="14"/>
              </w:rPr>
              <w:t>0.2344</w:t>
            </w:r>
          </w:p>
        </w:tc>
        <w:tc>
          <w:tcPr>
            <w:tcW w:type="dxa" w:w="1040"/>
            <w:vAlign w:val="center"/>
          </w:tcPr>
          <w:p>
            <w:pPr>
              <w:spacing w:before="0" w:after="0" w:line="252" w:lineRule="auto"/>
              <w:jc w:val="center"/>
            </w:pPr>
            <w:r/>
            <w:r>
              <w:rPr>
                <w:rFonts w:ascii="Calibri" w:hAnsi="Calibri" w:eastAsia="Microsoft YaHei"/>
                <w:b w:val="0"/>
                <w:sz w:val="14"/>
              </w:rPr>
              <w:t>0.8055</w:t>
            </w:r>
          </w:p>
        </w:tc>
        <w:tc>
          <w:tcPr>
            <w:tcW w:type="dxa" w:w="1040"/>
            <w:vAlign w:val="center"/>
          </w:tcPr>
          <w:p>
            <w:pPr>
              <w:spacing w:before="0" w:after="0" w:line="252" w:lineRule="auto"/>
              <w:jc w:val="center"/>
            </w:pPr>
            <w:r/>
            <w:r>
              <w:rPr>
                <w:rFonts w:ascii="Calibri" w:hAnsi="Calibri" w:eastAsia="Microsoft YaHei"/>
                <w:b w:val="0"/>
                <w:sz w:val="14"/>
              </w:rPr>
              <w:t>0.4821</w:t>
            </w:r>
          </w:p>
        </w:tc>
        <w:tc>
          <w:tcPr>
            <w:tcW w:type="dxa" w:w="1040"/>
            <w:vAlign w:val="center"/>
          </w:tcPr>
          <w:p>
            <w:pPr>
              <w:spacing w:before="0" w:after="0" w:line="252" w:lineRule="auto"/>
              <w:jc w:val="center"/>
            </w:pPr>
            <w:r/>
            <w:r>
              <w:rPr>
                <w:rFonts w:ascii="Calibri" w:hAnsi="Calibri" w:eastAsia="Microsoft YaHei"/>
                <w:b w:val="0"/>
                <w:sz w:val="14"/>
              </w:rPr>
              <w:t>0.2889</w:t>
            </w:r>
          </w:p>
        </w:tc>
        <w:tc>
          <w:tcPr>
            <w:tcW w:type="dxa" w:w="1040"/>
            <w:vAlign w:val="center"/>
          </w:tcPr>
          <w:p>
            <w:pPr>
              <w:spacing w:before="0" w:after="0" w:line="252" w:lineRule="auto"/>
              <w:jc w:val="center"/>
            </w:pPr>
            <w:r/>
            <w:r>
              <w:rPr>
                <w:rFonts w:ascii="Calibri" w:hAnsi="Calibri" w:eastAsia="Microsoft YaHei"/>
                <w:b w:val="0"/>
                <w:sz w:val="14"/>
              </w:rPr>
              <w:t>0.9155</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NGCFIPS</w:t>
            </w:r>
          </w:p>
        </w:tc>
        <w:tc>
          <w:tcPr>
            <w:tcW w:type="dxa" w:w="1040"/>
            <w:vAlign w:val="center"/>
          </w:tcPr>
          <w:p>
            <w:pPr>
              <w:spacing w:before="0" w:after="0" w:line="252" w:lineRule="auto"/>
              <w:jc w:val="center"/>
            </w:pPr>
            <w:r/>
            <w:r>
              <w:rPr>
                <w:rFonts w:ascii="Calibri" w:hAnsi="Calibri" w:eastAsia="Microsoft YaHei"/>
                <w:b w:val="0"/>
                <w:sz w:val="14"/>
              </w:rPr>
              <w:t>49</w:t>
            </w:r>
          </w:p>
        </w:tc>
        <w:tc>
          <w:tcPr>
            <w:tcW w:type="dxa" w:w="1040"/>
            <w:vAlign w:val="center"/>
          </w:tcPr>
          <w:p>
            <w:pPr>
              <w:spacing w:before="0" w:after="0" w:line="252" w:lineRule="auto"/>
              <w:jc w:val="center"/>
            </w:pPr>
            <w:r/>
            <w:r>
              <w:rPr>
                <w:rFonts w:ascii="Calibri" w:hAnsi="Calibri" w:eastAsia="Microsoft YaHei"/>
                <w:b w:val="0"/>
                <w:sz w:val="14"/>
              </w:rPr>
              <w:t>0.1901</w:t>
            </w:r>
          </w:p>
        </w:tc>
        <w:tc>
          <w:tcPr>
            <w:tcW w:type="dxa" w:w="1040"/>
            <w:vAlign w:val="center"/>
          </w:tcPr>
          <w:p>
            <w:pPr>
              <w:spacing w:before="0" w:after="0" w:line="252" w:lineRule="auto"/>
              <w:jc w:val="center"/>
            </w:pPr>
            <w:r/>
            <w:r>
              <w:rPr>
                <w:rFonts w:ascii="Calibri" w:hAnsi="Calibri" w:eastAsia="Microsoft YaHei"/>
                <w:b w:val="0"/>
                <w:sz w:val="14"/>
              </w:rPr>
              <w:t>0.1274</w:t>
            </w:r>
          </w:p>
        </w:tc>
        <w:tc>
          <w:tcPr>
            <w:tcW w:type="dxa" w:w="1040"/>
            <w:vAlign w:val="center"/>
          </w:tcPr>
          <w:p>
            <w:pPr>
              <w:spacing w:before="0" w:after="0" w:line="252" w:lineRule="auto"/>
              <w:jc w:val="center"/>
            </w:pPr>
            <w:r/>
            <w:r>
              <w:rPr>
                <w:rFonts w:ascii="Calibri" w:hAnsi="Calibri" w:eastAsia="Microsoft YaHei"/>
                <w:b w:val="0"/>
                <w:sz w:val="14"/>
              </w:rPr>
              <w:t>0.5989</w:t>
            </w:r>
          </w:p>
        </w:tc>
        <w:tc>
          <w:tcPr>
            <w:tcW w:type="dxa" w:w="1040"/>
            <w:vAlign w:val="center"/>
          </w:tcPr>
          <w:p>
            <w:pPr>
              <w:spacing w:before="0" w:after="0" w:line="252" w:lineRule="auto"/>
              <w:jc w:val="center"/>
            </w:pPr>
            <w:r/>
            <w:r>
              <w:rPr>
                <w:rFonts w:ascii="Calibri" w:hAnsi="Calibri" w:eastAsia="Microsoft YaHei"/>
                <w:b w:val="0"/>
                <w:sz w:val="14"/>
              </w:rPr>
              <w:t>0.3389</w:t>
            </w:r>
          </w:p>
        </w:tc>
        <w:tc>
          <w:tcPr>
            <w:tcW w:type="dxa" w:w="1040"/>
            <w:vAlign w:val="center"/>
          </w:tcPr>
          <w:p>
            <w:pPr>
              <w:spacing w:before="0" w:after="0" w:line="252" w:lineRule="auto"/>
              <w:jc w:val="center"/>
            </w:pPr>
            <w:r/>
            <w:r>
              <w:rPr>
                <w:rFonts w:ascii="Calibri" w:hAnsi="Calibri" w:eastAsia="Microsoft YaHei"/>
                <w:b w:val="0"/>
                <w:sz w:val="14"/>
              </w:rPr>
              <w:t>0.1758</w:t>
            </w:r>
          </w:p>
        </w:tc>
        <w:tc>
          <w:tcPr>
            <w:tcW w:type="dxa" w:w="1040"/>
            <w:vAlign w:val="center"/>
          </w:tcPr>
          <w:p>
            <w:pPr>
              <w:spacing w:before="0" w:after="0" w:line="252" w:lineRule="auto"/>
              <w:jc w:val="center"/>
            </w:pPr>
            <w:r/>
            <w:r>
              <w:rPr>
                <w:rFonts w:ascii="Calibri" w:hAnsi="Calibri" w:eastAsia="Microsoft YaHei"/>
                <w:b w:val="0"/>
                <w:sz w:val="14"/>
              </w:rPr>
              <w:t>0.7930</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NGCFDICE</w:t>
            </w:r>
          </w:p>
        </w:tc>
        <w:tc>
          <w:tcPr>
            <w:tcW w:type="dxa" w:w="1040"/>
            <w:vAlign w:val="center"/>
          </w:tcPr>
          <w:p>
            <w:pPr>
              <w:spacing w:before="0" w:after="0" w:line="252" w:lineRule="auto"/>
              <w:jc w:val="center"/>
            </w:pPr>
            <w:r/>
            <w:r>
              <w:rPr>
                <w:rFonts w:ascii="Calibri" w:hAnsi="Calibri" w:eastAsia="Microsoft YaHei"/>
                <w:b w:val="0"/>
                <w:sz w:val="14"/>
              </w:rPr>
              <w:t>17</w:t>
            </w:r>
          </w:p>
        </w:tc>
        <w:tc>
          <w:tcPr>
            <w:tcW w:type="dxa" w:w="1040"/>
            <w:vAlign w:val="center"/>
          </w:tcPr>
          <w:p>
            <w:pPr>
              <w:spacing w:before="0" w:after="0" w:line="252" w:lineRule="auto"/>
              <w:jc w:val="center"/>
            </w:pPr>
            <w:r/>
            <w:r>
              <w:rPr>
                <w:rFonts w:ascii="Calibri" w:hAnsi="Calibri" w:eastAsia="Microsoft YaHei"/>
                <w:b w:val="0"/>
                <w:sz w:val="14"/>
              </w:rPr>
              <w:t>0.2286</w:t>
            </w:r>
          </w:p>
        </w:tc>
        <w:tc>
          <w:tcPr>
            <w:tcW w:type="dxa" w:w="1040"/>
            <w:vAlign w:val="center"/>
          </w:tcPr>
          <w:p>
            <w:pPr>
              <w:spacing w:before="0" w:after="0" w:line="252" w:lineRule="auto"/>
              <w:jc w:val="center"/>
            </w:pPr>
            <w:r/>
            <w:r>
              <w:rPr>
                <w:rFonts w:ascii="Calibri" w:hAnsi="Calibri" w:eastAsia="Microsoft YaHei"/>
                <w:b w:val="0"/>
                <w:sz w:val="14"/>
              </w:rPr>
              <w:t>0.1614</w:t>
            </w:r>
          </w:p>
        </w:tc>
        <w:tc>
          <w:tcPr>
            <w:tcW w:type="dxa" w:w="1040"/>
            <w:vAlign w:val="center"/>
          </w:tcPr>
          <w:p>
            <w:pPr>
              <w:spacing w:before="0" w:after="0" w:line="252" w:lineRule="auto"/>
              <w:jc w:val="center"/>
            </w:pPr>
            <w:r/>
            <w:r>
              <w:rPr>
                <w:rFonts w:ascii="Calibri" w:hAnsi="Calibri" w:eastAsia="Microsoft YaHei"/>
                <w:b w:val="0"/>
                <w:sz w:val="14"/>
              </w:rPr>
              <w:t>0.6967</w:t>
            </w:r>
          </w:p>
        </w:tc>
        <w:tc>
          <w:tcPr>
            <w:tcW w:type="dxa" w:w="1040"/>
            <w:vAlign w:val="center"/>
          </w:tcPr>
          <w:p>
            <w:pPr>
              <w:spacing w:before="0" w:after="0" w:line="252" w:lineRule="auto"/>
              <w:jc w:val="center"/>
            </w:pPr>
            <w:r/>
            <w:r>
              <w:rPr>
                <w:rFonts w:ascii="Calibri" w:hAnsi="Calibri" w:eastAsia="Microsoft YaHei"/>
                <w:b w:val="0"/>
                <w:sz w:val="14"/>
              </w:rPr>
              <w:t>0.3869</w:t>
            </w:r>
          </w:p>
        </w:tc>
        <w:tc>
          <w:tcPr>
            <w:tcW w:type="dxa" w:w="1040"/>
            <w:vAlign w:val="center"/>
          </w:tcPr>
          <w:p>
            <w:pPr>
              <w:spacing w:before="0" w:after="0" w:line="252" w:lineRule="auto"/>
              <w:jc w:val="center"/>
            </w:pPr>
            <w:r/>
            <w:r>
              <w:rPr>
                <w:rFonts w:ascii="Calibri" w:hAnsi="Calibri" w:eastAsia="Microsoft YaHei"/>
                <w:b w:val="0"/>
                <w:sz w:val="14"/>
              </w:rPr>
              <w:t>0.2139</w:t>
            </w:r>
          </w:p>
        </w:tc>
        <w:tc>
          <w:tcPr>
            <w:tcW w:type="dxa" w:w="1040"/>
            <w:vAlign w:val="center"/>
          </w:tcPr>
          <w:p>
            <w:pPr>
              <w:spacing w:before="0" w:after="0" w:line="252" w:lineRule="auto"/>
              <w:jc w:val="center"/>
            </w:pPr>
            <w:r/>
            <w:r>
              <w:rPr>
                <w:rFonts w:ascii="Calibri" w:hAnsi="Calibri" w:eastAsia="Microsoft YaHei"/>
                <w:b w:val="0"/>
                <w:sz w:val="14"/>
              </w:rPr>
              <w:t>0.8669</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NGCF</w:t>
            </w:r>
          </w:p>
        </w:tc>
        <w:tc>
          <w:tcPr>
            <w:tcW w:type="dxa" w:w="1040"/>
            <w:vAlign w:val="center"/>
          </w:tcPr>
          <w:p>
            <w:pPr>
              <w:spacing w:before="0" w:after="0" w:line="252" w:lineRule="auto"/>
              <w:jc w:val="center"/>
            </w:pPr>
            <w:r/>
            <w:r>
              <w:rPr>
                <w:rFonts w:ascii="Calibri" w:hAnsi="Calibri" w:eastAsia="Microsoft YaHei"/>
                <w:b w:val="0"/>
                <w:sz w:val="14"/>
              </w:rPr>
              <w:t>48</w:t>
            </w:r>
          </w:p>
        </w:tc>
        <w:tc>
          <w:tcPr>
            <w:tcW w:type="dxa" w:w="1040"/>
            <w:vAlign w:val="center"/>
          </w:tcPr>
          <w:p>
            <w:pPr>
              <w:spacing w:before="0" w:after="0" w:line="252" w:lineRule="auto"/>
              <w:jc w:val="center"/>
            </w:pPr>
            <w:r/>
            <w:r>
              <w:rPr>
                <w:rFonts w:ascii="Calibri" w:hAnsi="Calibri" w:eastAsia="Microsoft YaHei"/>
                <w:b w:val="0"/>
                <w:sz w:val="14"/>
              </w:rPr>
              <w:t>0.4016</w:t>
            </w:r>
          </w:p>
        </w:tc>
        <w:tc>
          <w:tcPr>
            <w:tcW w:type="dxa" w:w="1040"/>
            <w:vAlign w:val="center"/>
          </w:tcPr>
          <w:p>
            <w:pPr>
              <w:spacing w:before="0" w:after="0" w:line="252" w:lineRule="auto"/>
              <w:jc w:val="center"/>
            </w:pPr>
            <w:r/>
            <w:r>
              <w:rPr>
                <w:rFonts w:ascii="Calibri" w:hAnsi="Calibri" w:eastAsia="Microsoft YaHei"/>
                <w:b w:val="0"/>
                <w:sz w:val="14"/>
              </w:rPr>
              <w:t>0.2977</w:t>
            </w:r>
          </w:p>
        </w:tc>
        <w:tc>
          <w:tcPr>
            <w:tcW w:type="dxa" w:w="1040"/>
            <w:vAlign w:val="center"/>
          </w:tcPr>
          <w:p>
            <w:pPr>
              <w:spacing w:before="0" w:after="0" w:line="252" w:lineRule="auto"/>
              <w:jc w:val="center"/>
            </w:pPr>
            <w:r/>
            <w:r>
              <w:rPr>
                <w:rFonts w:ascii="Calibri" w:hAnsi="Calibri" w:eastAsia="Microsoft YaHei"/>
                <w:b w:val="0"/>
                <w:sz w:val="14"/>
              </w:rPr>
              <w:t>0.8644</w:t>
            </w:r>
          </w:p>
        </w:tc>
        <w:tc>
          <w:tcPr>
            <w:tcW w:type="dxa" w:w="1040"/>
            <w:vAlign w:val="center"/>
          </w:tcPr>
          <w:p>
            <w:pPr>
              <w:spacing w:before="0" w:after="0" w:line="252" w:lineRule="auto"/>
              <w:jc w:val="center"/>
            </w:pPr>
            <w:r/>
            <w:r>
              <w:rPr>
                <w:rFonts w:ascii="Calibri" w:hAnsi="Calibri" w:eastAsia="Microsoft YaHei"/>
                <w:b w:val="0"/>
                <w:sz w:val="14"/>
              </w:rPr>
              <w:t>0.6013</w:t>
            </w:r>
          </w:p>
        </w:tc>
        <w:tc>
          <w:tcPr>
            <w:tcW w:type="dxa" w:w="1040"/>
            <w:vAlign w:val="center"/>
          </w:tcPr>
          <w:p>
            <w:pPr>
              <w:spacing w:before="0" w:after="0" w:line="252" w:lineRule="auto"/>
              <w:jc w:val="center"/>
            </w:pPr>
            <w:r/>
            <w:r>
              <w:rPr>
                <w:rFonts w:ascii="Calibri" w:hAnsi="Calibri" w:eastAsia="Microsoft YaHei"/>
                <w:b w:val="0"/>
                <w:sz w:val="14"/>
              </w:rPr>
              <w:t>0.3659</w:t>
            </w:r>
          </w:p>
        </w:tc>
        <w:tc>
          <w:tcPr>
            <w:tcW w:type="dxa" w:w="1040"/>
            <w:vAlign w:val="center"/>
          </w:tcPr>
          <w:p>
            <w:pPr>
              <w:spacing w:before="0" w:after="0" w:line="252" w:lineRule="auto"/>
              <w:jc w:val="center"/>
            </w:pPr>
            <w:r/>
            <w:r>
              <w:rPr>
                <w:rFonts w:ascii="Calibri" w:hAnsi="Calibri" w:eastAsia="Microsoft YaHei"/>
                <w:b w:val="0"/>
                <w:sz w:val="14"/>
              </w:rPr>
              <w:t>0.9521</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NGCFIPS</w:t>
            </w:r>
          </w:p>
        </w:tc>
        <w:tc>
          <w:tcPr>
            <w:tcW w:type="dxa" w:w="1040"/>
            <w:vAlign w:val="center"/>
          </w:tcPr>
          <w:p>
            <w:pPr>
              <w:spacing w:before="0" w:after="0" w:line="252" w:lineRule="auto"/>
              <w:jc w:val="center"/>
            </w:pPr>
            <w:r/>
            <w:r>
              <w:rPr>
                <w:rFonts w:ascii="Calibri" w:hAnsi="Calibri" w:eastAsia="Microsoft YaHei"/>
                <w:b w:val="0"/>
                <w:sz w:val="14"/>
              </w:rPr>
              <w:t>49</w:t>
            </w:r>
          </w:p>
        </w:tc>
        <w:tc>
          <w:tcPr>
            <w:tcW w:type="dxa" w:w="1040"/>
            <w:vAlign w:val="center"/>
          </w:tcPr>
          <w:p>
            <w:pPr>
              <w:spacing w:before="0" w:after="0" w:line="252" w:lineRule="auto"/>
              <w:jc w:val="center"/>
            </w:pPr>
            <w:r/>
            <w:r>
              <w:rPr>
                <w:rFonts w:ascii="Calibri" w:hAnsi="Calibri" w:eastAsia="Microsoft YaHei"/>
                <w:b w:val="0"/>
                <w:sz w:val="14"/>
              </w:rPr>
              <w:t>0.1721</w:t>
            </w:r>
          </w:p>
        </w:tc>
        <w:tc>
          <w:tcPr>
            <w:tcW w:type="dxa" w:w="1040"/>
            <w:vAlign w:val="center"/>
          </w:tcPr>
          <w:p>
            <w:pPr>
              <w:spacing w:before="0" w:after="0" w:line="252" w:lineRule="auto"/>
              <w:jc w:val="center"/>
            </w:pPr>
            <w:r/>
            <w:r>
              <w:rPr>
                <w:rFonts w:ascii="Calibri" w:hAnsi="Calibri" w:eastAsia="Microsoft YaHei"/>
                <w:b w:val="0"/>
                <w:sz w:val="14"/>
              </w:rPr>
              <w:t>0.1084</w:t>
            </w:r>
          </w:p>
        </w:tc>
        <w:tc>
          <w:tcPr>
            <w:tcW w:type="dxa" w:w="1040"/>
            <w:vAlign w:val="center"/>
          </w:tcPr>
          <w:p>
            <w:pPr>
              <w:spacing w:before="0" w:after="0" w:line="252" w:lineRule="auto"/>
              <w:jc w:val="center"/>
            </w:pPr>
            <w:r/>
            <w:r>
              <w:rPr>
                <w:rFonts w:ascii="Calibri" w:hAnsi="Calibri" w:eastAsia="Microsoft YaHei"/>
                <w:b w:val="0"/>
                <w:sz w:val="14"/>
              </w:rPr>
              <w:t>0.5056</w:t>
            </w:r>
          </w:p>
        </w:tc>
        <w:tc>
          <w:tcPr>
            <w:tcW w:type="dxa" w:w="1040"/>
            <w:vAlign w:val="center"/>
          </w:tcPr>
          <w:p>
            <w:pPr>
              <w:spacing w:before="0" w:after="0" w:line="252" w:lineRule="auto"/>
              <w:jc w:val="center"/>
            </w:pPr>
            <w:r/>
            <w:r>
              <w:rPr>
                <w:rFonts w:ascii="Calibri" w:hAnsi="Calibri" w:eastAsia="Microsoft YaHei"/>
                <w:b w:val="0"/>
                <w:sz w:val="14"/>
              </w:rPr>
              <w:t>0.3229</w:t>
            </w:r>
          </w:p>
        </w:tc>
        <w:tc>
          <w:tcPr>
            <w:tcW w:type="dxa" w:w="1040"/>
            <w:vAlign w:val="center"/>
          </w:tcPr>
          <w:p>
            <w:pPr>
              <w:spacing w:before="0" w:after="0" w:line="252" w:lineRule="auto"/>
              <w:jc w:val="center"/>
            </w:pPr>
            <w:r/>
            <w:r>
              <w:rPr>
                <w:rFonts w:ascii="Calibri" w:hAnsi="Calibri" w:eastAsia="Microsoft YaHei"/>
                <w:b w:val="0"/>
                <w:sz w:val="14"/>
              </w:rPr>
              <w:t>0.1579</w:t>
            </w:r>
          </w:p>
        </w:tc>
        <w:tc>
          <w:tcPr>
            <w:tcW w:type="dxa" w:w="1040"/>
            <w:vAlign w:val="center"/>
          </w:tcPr>
          <w:p>
            <w:pPr>
              <w:spacing w:before="0" w:after="0" w:line="252" w:lineRule="auto"/>
              <w:jc w:val="center"/>
            </w:pPr>
            <w:r/>
            <w:r>
              <w:rPr>
                <w:rFonts w:ascii="Calibri" w:hAnsi="Calibri" w:eastAsia="Microsoft YaHei"/>
                <w:b w:val="0"/>
                <w:sz w:val="14"/>
              </w:rPr>
              <w:t>0.7188</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NGCFDICE</w:t>
            </w:r>
          </w:p>
        </w:tc>
        <w:tc>
          <w:tcPr>
            <w:tcW w:type="dxa" w:w="1040"/>
            <w:vAlign w:val="center"/>
          </w:tcPr>
          <w:p>
            <w:pPr>
              <w:spacing w:before="0" w:after="0" w:line="252" w:lineRule="auto"/>
              <w:jc w:val="center"/>
            </w:pPr>
            <w:r/>
            <w:r>
              <w:rPr>
                <w:rFonts w:ascii="Calibri" w:hAnsi="Calibri" w:eastAsia="Microsoft YaHei"/>
                <w:b w:val="0"/>
                <w:sz w:val="14"/>
              </w:rPr>
              <w:t>17</w:t>
            </w:r>
          </w:p>
        </w:tc>
        <w:tc>
          <w:tcPr>
            <w:tcW w:type="dxa" w:w="1040"/>
            <w:vAlign w:val="center"/>
          </w:tcPr>
          <w:p>
            <w:pPr>
              <w:spacing w:before="0" w:after="0" w:line="252" w:lineRule="auto"/>
              <w:jc w:val="center"/>
            </w:pPr>
            <w:r/>
            <w:r>
              <w:rPr>
                <w:rFonts w:ascii="Calibri" w:hAnsi="Calibri" w:eastAsia="Microsoft YaHei"/>
                <w:b w:val="0"/>
                <w:sz w:val="14"/>
              </w:rPr>
              <w:t>0.1596</w:t>
            </w:r>
          </w:p>
        </w:tc>
        <w:tc>
          <w:tcPr>
            <w:tcW w:type="dxa" w:w="1040"/>
            <w:vAlign w:val="center"/>
          </w:tcPr>
          <w:p>
            <w:pPr>
              <w:spacing w:before="0" w:after="0" w:line="252" w:lineRule="auto"/>
              <w:jc w:val="center"/>
            </w:pPr>
            <w:r/>
            <w:r>
              <w:rPr>
                <w:rFonts w:ascii="Calibri" w:hAnsi="Calibri" w:eastAsia="Microsoft YaHei"/>
                <w:b w:val="0"/>
                <w:sz w:val="14"/>
              </w:rPr>
              <w:t>0.1097</w:t>
            </w:r>
          </w:p>
        </w:tc>
        <w:tc>
          <w:tcPr>
            <w:tcW w:type="dxa" w:w="1040"/>
            <w:vAlign w:val="center"/>
          </w:tcPr>
          <w:p>
            <w:pPr>
              <w:spacing w:before="0" w:after="0" w:line="252" w:lineRule="auto"/>
              <w:jc w:val="center"/>
            </w:pPr>
            <w:r/>
            <w:r>
              <w:rPr>
                <w:rFonts w:ascii="Calibri" w:hAnsi="Calibri" w:eastAsia="Microsoft YaHei"/>
                <w:b w:val="0"/>
                <w:sz w:val="14"/>
              </w:rPr>
              <w:t>0.5467</w:t>
            </w:r>
          </w:p>
        </w:tc>
        <w:tc>
          <w:tcPr>
            <w:tcW w:type="dxa" w:w="1040"/>
            <w:vAlign w:val="center"/>
          </w:tcPr>
          <w:p>
            <w:pPr>
              <w:spacing w:before="0" w:after="0" w:line="252" w:lineRule="auto"/>
              <w:jc w:val="center"/>
            </w:pPr>
            <w:r/>
            <w:r>
              <w:rPr>
                <w:rFonts w:ascii="Calibri" w:hAnsi="Calibri" w:eastAsia="Microsoft YaHei"/>
                <w:b w:val="0"/>
                <w:sz w:val="14"/>
              </w:rPr>
              <w:t>0.2891</w:t>
            </w:r>
          </w:p>
        </w:tc>
        <w:tc>
          <w:tcPr>
            <w:tcW w:type="dxa" w:w="1040"/>
            <w:vAlign w:val="center"/>
          </w:tcPr>
          <w:p>
            <w:pPr>
              <w:spacing w:before="0" w:after="0" w:line="252" w:lineRule="auto"/>
              <w:jc w:val="center"/>
            </w:pPr>
            <w:r/>
            <w:r>
              <w:rPr>
                <w:rFonts w:ascii="Calibri" w:hAnsi="Calibri" w:eastAsia="Microsoft YaHei"/>
                <w:b w:val="0"/>
                <w:sz w:val="14"/>
              </w:rPr>
              <w:t>0.1523</w:t>
            </w:r>
          </w:p>
        </w:tc>
        <w:tc>
          <w:tcPr>
            <w:tcW w:type="dxa" w:w="1040"/>
            <w:vAlign w:val="center"/>
          </w:tcPr>
          <w:p>
            <w:pPr>
              <w:spacing w:before="0" w:after="0" w:line="252" w:lineRule="auto"/>
              <w:jc w:val="center"/>
            </w:pPr>
            <w:r/>
            <w:r>
              <w:rPr>
                <w:rFonts w:ascii="Calibri" w:hAnsi="Calibri" w:eastAsia="Microsoft YaHei"/>
                <w:b w:val="0"/>
                <w:sz w:val="14"/>
              </w:rPr>
              <w:t>0.7562</w:t>
            </w:r>
          </w:p>
        </w:tc>
      </w:tr>
    </w:tbl>
    <w:p>
      <w:pPr>
        <w:spacing w:before="0" w:after="40" w:line="264" w:lineRule="auto"/>
      </w:pPr>
      <w:r>
        <w:rPr>
          <w:rFonts w:ascii="Calibri" w:hAnsi="Calibri" w:eastAsia="Microsoft YaHei"/>
          <w:b w:val="0"/>
          <w:i w:val="0"/>
          <w:sz w:val="22"/>
        </w:rPr>
      </w:r>
    </w:p>
    <w:p>
      <w:pPr>
        <w:jc w:val="center"/>
      </w:pPr>
      <w:r>
        <w:drawing>
          <wp:inline xmlns:a="http://schemas.openxmlformats.org/drawingml/2006/main" xmlns:pic="http://schemas.openxmlformats.org/drawingml/2006/picture">
            <wp:extent cx="5577840" cy="3063884"/>
            <wp:docPr id="2" name="Picture 2"/>
            <wp:cNvGraphicFramePr>
              <a:graphicFrameLocks noChangeAspect="1"/>
            </wp:cNvGraphicFramePr>
            <a:graphic>
              <a:graphicData uri="http://schemas.openxmlformats.org/drawingml/2006/picture">
                <pic:pic>
                  <pic:nvPicPr>
                    <pic:cNvPr id="0" name="fig2_ngcf_recall20.png"/>
                    <pic:cNvPicPr/>
                  </pic:nvPicPr>
                  <pic:blipFill>
                    <a:blip r:embed="rId12"/>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NGCF 系列模型在三类测试分布上的 Recall@20</w:t>
      </w:r>
    </w:p>
    <w:p>
      <w:pPr>
        <w:pStyle w:val="Heading2"/>
        <w:keepNext/>
      </w:pPr>
      <w:r>
        <w:rPr>
          <w:rFonts w:ascii="Calibri" w:hAnsi="Calibri" w:eastAsia="Microsoft YaHei"/>
          <w:b/>
          <w:color w:val="2E74B5"/>
          <w:sz w:val="26"/>
        </w:rPr>
        <w:t>5.3 结果解释</w:t>
      </w:r>
    </w:p>
    <w:p>
      <w:pPr>
        <w:spacing w:after="120" w:line="264" w:lineRule="auto"/>
      </w:pPr>
      <w:r>
        <w:rPr>
          <w:rFonts w:ascii="Calibri" w:hAnsi="Calibri" w:eastAsia="Microsoft YaHei"/>
          <w:b w:val="0"/>
          <w:sz w:val="22"/>
        </w:rPr>
        <w:t>NGCF-DICE 在 Longtail 测试集上的效果最突出：Recall@20 从 NGCF 的 0.1393 提升到 0.1769，提升约 27.0%；NDCG@20 从 0.0923 提升到 0.1198，提升约 29.7%；Recall@50 也提升约 22.4%。这说明 DICE 的 interest/conformity 解耦思想迁移到图协同过滤 backbone 后，仍然能够改善长尾推荐。</w:t>
      </w:r>
    </w:p>
    <w:p>
      <w:pPr>
        <w:spacing w:after="120" w:line="264" w:lineRule="auto"/>
      </w:pPr>
      <w:r>
        <w:rPr>
          <w:rFonts w:ascii="Calibri" w:hAnsi="Calibri" w:eastAsia="Microsoft YaHei"/>
          <w:b w:val="0"/>
          <w:sz w:val="22"/>
        </w:rPr>
        <w:t>Uniform 和 Head 测试集上，原始 NGCF 的准确率最高，NGCFDICE 明显降低。这一现象不应被解释为方法失败，而应解释为去偏方法对热门物品从众信号的抑制。Head 测试集本身偏向热门物品，原始 NGCF 更容易通过热门物品获得高分；DICE 削弱热门依赖后，在 Head 分布上的准确率自然下降。</w:t>
      </w:r>
    </w:p>
    <w:p>
      <w:pPr>
        <w:spacing w:after="120" w:line="264" w:lineRule="auto"/>
      </w:pPr>
      <w:r>
        <w:rPr>
          <w:rFonts w:ascii="Calibri" w:hAnsi="Calibri" w:eastAsia="Microsoft YaHei"/>
          <w:b w:val="0"/>
          <w:sz w:val="22"/>
        </w:rPr>
        <w:t>相比 NeuMF，NGCF-DICE 在 Longtail 上的提升幅度更大，因而为四星扩展提供了更强证据：DICE 不仅能迁移到神经协同过滤模型，也能迁移到图协同过滤模型。</w:t>
      </w:r>
    </w:p>
    <w:p>
      <w:pPr>
        <w:pStyle w:val="Heading1"/>
        <w:keepNext/>
      </w:pPr>
      <w:r>
        <w:rPr>
          <w:rFonts w:ascii="Calibri" w:hAnsi="Calibri" w:eastAsia="Microsoft YaHei"/>
          <w:b/>
          <w:color w:val="2E74B5"/>
          <w:sz w:val="32"/>
        </w:rPr>
        <w:t>6. 四星扩展三：VAE-DICE</w:t>
      </w:r>
    </w:p>
    <w:p>
      <w:pPr>
        <w:pStyle w:val="Heading2"/>
        <w:keepNext/>
      </w:pPr>
      <w:r>
        <w:rPr>
          <w:rFonts w:ascii="Calibri" w:hAnsi="Calibri" w:eastAsia="Microsoft YaHei"/>
          <w:b/>
          <w:color w:val="2E74B5"/>
          <w:sz w:val="26"/>
        </w:rPr>
        <w:t>6.1 扩展动机</w:t>
      </w:r>
    </w:p>
    <w:p>
      <w:pPr>
        <w:spacing w:after="120" w:line="264" w:lineRule="auto"/>
      </w:pPr>
      <w:r>
        <w:rPr>
          <w:rFonts w:ascii="Calibri" w:hAnsi="Calibri" w:eastAsia="Microsoft YaHei"/>
          <w:b w:val="0"/>
          <w:sz w:val="22"/>
        </w:rPr>
        <w:t>在 NeuMF 和 NGCF 之外，本项目进一步加入 VAE 作为生成式潜变量推荐 backbone。VAE 通过用户、物品潜变量分布及重参数化机制建模不确定性，与 NeuMF 的点式非线性交互和 NGCF 的图传播机制不同。将 DICE 迁移到 VAE，有助于检验 interest/conformity 解耦思想是否能适配更一般的潜变量表达。</w:t>
      </w:r>
    </w:p>
    <w:p>
      <w:pPr>
        <w:spacing w:after="120" w:line="264" w:lineRule="auto"/>
      </w:pPr>
      <w:r>
        <w:rPr>
          <w:rFonts w:ascii="Calibri" w:hAnsi="Calibri" w:eastAsia="Microsoft YaHei"/>
          <w:b w:val="0"/>
          <w:sz w:val="22"/>
        </w:rPr>
        <w:t>实现上，本项目新增 VAE、VAEIPS、VAEDICE 三类模型，并在训练器中加入 KL 正则项，使 base VAE 与 IPS 版本保留变分约束，VAEDICE 则在 DICE pairwise loss 基础上叠加 VAE 的潜变量正则。候选生成和 Top-K 测试仍复用原有 DICE 推荐器流程，从而保证结果与 NeuMF、NGCF 的实验口径一致。</w:t>
      </w:r>
    </w:p>
    <w:p>
      <w:pPr>
        <w:pStyle w:val="Heading2"/>
        <w:keepNext/>
      </w:pPr>
      <w:r>
        <w:rPr>
          <w:rFonts w:ascii="Calibri" w:hAnsi="Calibri" w:eastAsia="Microsoft YaHei"/>
          <w:b/>
          <w:color w:val="2E74B5"/>
          <w:sz w:val="26"/>
        </w:rPr>
        <w:t>6.2 VAE 主实验结果</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E8EEF5"/>
          </w:tcPr>
          <w:p>
            <w:pPr>
              <w:spacing w:before="0" w:after="0" w:line="252" w:lineRule="auto"/>
              <w:jc w:val="center"/>
            </w:pPr>
            <w:r/>
            <w:r>
              <w:rPr>
                <w:rFonts w:ascii="Calibri" w:hAnsi="Calibri" w:eastAsia="Microsoft YaHei"/>
                <w:b/>
                <w:sz w:val="15"/>
              </w:rPr>
              <w:t>Split</w:t>
            </w:r>
          </w:p>
        </w:tc>
        <w:tc>
          <w:tcPr>
            <w:tcW w:type="dxa" w:w="1040"/>
            <w:vAlign w:val="center"/>
            <w:shd w:fill="E8EEF5"/>
          </w:tcPr>
          <w:p>
            <w:pPr>
              <w:spacing w:before="0" w:after="0" w:line="252" w:lineRule="auto"/>
              <w:jc w:val="center"/>
            </w:pPr>
            <w:r/>
            <w:r>
              <w:rPr>
                <w:rFonts w:ascii="Calibri" w:hAnsi="Calibri" w:eastAsia="Microsoft YaHei"/>
                <w:b/>
                <w:sz w:val="15"/>
              </w:rPr>
              <w:t>Model</w:t>
            </w:r>
          </w:p>
        </w:tc>
        <w:tc>
          <w:tcPr>
            <w:tcW w:type="dxa" w:w="1040"/>
            <w:vAlign w:val="center"/>
            <w:shd w:fill="E8EEF5"/>
          </w:tcPr>
          <w:p>
            <w:pPr>
              <w:spacing w:before="0" w:after="0" w:line="252" w:lineRule="auto"/>
              <w:jc w:val="center"/>
            </w:pPr>
            <w:r/>
            <w:r>
              <w:rPr>
                <w:rFonts w:ascii="Calibri" w:hAnsi="Calibri" w:eastAsia="Microsoft YaHei"/>
                <w:b/>
                <w:sz w:val="15"/>
              </w:rPr>
              <w:t>Best</w:t>
            </w:r>
          </w:p>
        </w:tc>
        <w:tc>
          <w:tcPr>
            <w:tcW w:type="dxa" w:w="1040"/>
            <w:vAlign w:val="center"/>
            <w:shd w:fill="E8EEF5"/>
          </w:tcPr>
          <w:p>
            <w:pPr>
              <w:spacing w:before="0" w:after="0" w:line="252" w:lineRule="auto"/>
              <w:jc w:val="center"/>
            </w:pPr>
            <w:r/>
            <w:r>
              <w:rPr>
                <w:rFonts w:ascii="Calibri" w:hAnsi="Calibri" w:eastAsia="Microsoft YaHei"/>
                <w:b/>
                <w:sz w:val="15"/>
              </w:rPr>
              <w:t>R@20</w:t>
            </w:r>
          </w:p>
        </w:tc>
        <w:tc>
          <w:tcPr>
            <w:tcW w:type="dxa" w:w="1040"/>
            <w:vAlign w:val="center"/>
            <w:shd w:fill="E8EEF5"/>
          </w:tcPr>
          <w:p>
            <w:pPr>
              <w:spacing w:before="0" w:after="0" w:line="252" w:lineRule="auto"/>
              <w:jc w:val="center"/>
            </w:pPr>
            <w:r/>
            <w:r>
              <w:rPr>
                <w:rFonts w:ascii="Calibri" w:hAnsi="Calibri" w:eastAsia="Microsoft YaHei"/>
                <w:b/>
                <w:sz w:val="15"/>
              </w:rPr>
              <w:t>N@20</w:t>
            </w:r>
          </w:p>
        </w:tc>
        <w:tc>
          <w:tcPr>
            <w:tcW w:type="dxa" w:w="1040"/>
            <w:vAlign w:val="center"/>
            <w:shd w:fill="E8EEF5"/>
          </w:tcPr>
          <w:p>
            <w:pPr>
              <w:spacing w:before="0" w:after="0" w:line="252" w:lineRule="auto"/>
              <w:jc w:val="center"/>
            </w:pPr>
            <w:r/>
            <w:r>
              <w:rPr>
                <w:rFonts w:ascii="Calibri" w:hAnsi="Calibri" w:eastAsia="Microsoft YaHei"/>
                <w:b/>
                <w:sz w:val="15"/>
              </w:rPr>
              <w:t>HR@20</w:t>
            </w:r>
          </w:p>
        </w:tc>
        <w:tc>
          <w:tcPr>
            <w:tcW w:type="dxa" w:w="1040"/>
            <w:vAlign w:val="center"/>
            <w:shd w:fill="E8EEF5"/>
          </w:tcPr>
          <w:p>
            <w:pPr>
              <w:spacing w:before="0" w:after="0" w:line="252" w:lineRule="auto"/>
              <w:jc w:val="center"/>
            </w:pPr>
            <w:r/>
            <w:r>
              <w:rPr>
                <w:rFonts w:ascii="Calibri" w:hAnsi="Calibri" w:eastAsia="Microsoft YaHei"/>
                <w:b/>
                <w:sz w:val="15"/>
              </w:rPr>
              <w:t>R@50</w:t>
            </w:r>
          </w:p>
        </w:tc>
        <w:tc>
          <w:tcPr>
            <w:tcW w:type="dxa" w:w="1040"/>
            <w:vAlign w:val="center"/>
            <w:shd w:fill="E8EEF5"/>
          </w:tcPr>
          <w:p>
            <w:pPr>
              <w:spacing w:before="0" w:after="0" w:line="252" w:lineRule="auto"/>
              <w:jc w:val="center"/>
            </w:pPr>
            <w:r/>
            <w:r>
              <w:rPr>
                <w:rFonts w:ascii="Calibri" w:hAnsi="Calibri" w:eastAsia="Microsoft YaHei"/>
                <w:b/>
                <w:sz w:val="15"/>
              </w:rPr>
              <w:t>N@50</w:t>
            </w:r>
          </w:p>
        </w:tc>
        <w:tc>
          <w:tcPr>
            <w:tcW w:type="dxa" w:w="1040"/>
            <w:vAlign w:val="center"/>
            <w:shd w:fill="E8EEF5"/>
          </w:tcPr>
          <w:p>
            <w:pPr>
              <w:spacing w:before="0" w:after="0" w:line="252" w:lineRule="auto"/>
              <w:jc w:val="center"/>
            </w:pPr>
            <w:r/>
            <w:r>
              <w:rPr>
                <w:rFonts w:ascii="Calibri" w:hAnsi="Calibri" w:eastAsia="Microsoft YaHei"/>
                <w:b/>
                <w:sz w:val="15"/>
              </w:rPr>
              <w:t>HR@50</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VAE</w:t>
            </w:r>
          </w:p>
        </w:tc>
        <w:tc>
          <w:tcPr>
            <w:tcW w:type="dxa" w:w="1040"/>
            <w:vAlign w:val="center"/>
          </w:tcPr>
          <w:p>
            <w:pPr>
              <w:spacing w:before="0" w:after="0" w:line="252" w:lineRule="auto"/>
              <w:jc w:val="center"/>
            </w:pPr>
            <w:r/>
            <w:r>
              <w:rPr>
                <w:rFonts w:ascii="Calibri" w:hAnsi="Calibri" w:eastAsia="Microsoft YaHei"/>
                <w:b w:val="0"/>
                <w:sz w:val="14"/>
              </w:rPr>
              <w:t>44</w:t>
            </w:r>
          </w:p>
        </w:tc>
        <w:tc>
          <w:tcPr>
            <w:tcW w:type="dxa" w:w="1040"/>
            <w:vAlign w:val="center"/>
          </w:tcPr>
          <w:p>
            <w:pPr>
              <w:spacing w:before="0" w:after="0" w:line="252" w:lineRule="auto"/>
              <w:jc w:val="center"/>
            </w:pPr>
            <w:r/>
            <w:r>
              <w:rPr>
                <w:rFonts w:ascii="Calibri" w:hAnsi="Calibri" w:eastAsia="Microsoft YaHei"/>
                <w:b w:val="0"/>
                <w:sz w:val="14"/>
              </w:rPr>
              <w:t>0.1136</w:t>
            </w:r>
          </w:p>
        </w:tc>
        <w:tc>
          <w:tcPr>
            <w:tcW w:type="dxa" w:w="1040"/>
            <w:vAlign w:val="center"/>
          </w:tcPr>
          <w:p>
            <w:pPr>
              <w:spacing w:before="0" w:after="0" w:line="252" w:lineRule="auto"/>
              <w:jc w:val="center"/>
            </w:pPr>
            <w:r/>
            <w:r>
              <w:rPr>
                <w:rFonts w:ascii="Calibri" w:hAnsi="Calibri" w:eastAsia="Microsoft YaHei"/>
                <w:b w:val="0"/>
                <w:sz w:val="14"/>
              </w:rPr>
              <w:t>0.0730</w:t>
            </w:r>
          </w:p>
        </w:tc>
        <w:tc>
          <w:tcPr>
            <w:tcW w:type="dxa" w:w="1040"/>
            <w:vAlign w:val="center"/>
          </w:tcPr>
          <w:p>
            <w:pPr>
              <w:spacing w:before="0" w:after="0" w:line="252" w:lineRule="auto"/>
              <w:jc w:val="center"/>
            </w:pPr>
            <w:r/>
            <w:r>
              <w:rPr>
                <w:rFonts w:ascii="Calibri" w:hAnsi="Calibri" w:eastAsia="Microsoft YaHei"/>
                <w:b w:val="0"/>
                <w:sz w:val="14"/>
              </w:rPr>
              <w:t>0.4146</w:t>
            </w:r>
          </w:p>
        </w:tc>
        <w:tc>
          <w:tcPr>
            <w:tcW w:type="dxa" w:w="1040"/>
            <w:vAlign w:val="center"/>
          </w:tcPr>
          <w:p>
            <w:pPr>
              <w:spacing w:before="0" w:after="0" w:line="252" w:lineRule="auto"/>
              <w:jc w:val="center"/>
            </w:pPr>
            <w:r/>
            <w:r>
              <w:rPr>
                <w:rFonts w:ascii="Calibri" w:hAnsi="Calibri" w:eastAsia="Microsoft YaHei"/>
                <w:b w:val="0"/>
                <w:sz w:val="14"/>
              </w:rPr>
              <w:t>0.2201</w:t>
            </w:r>
          </w:p>
        </w:tc>
        <w:tc>
          <w:tcPr>
            <w:tcW w:type="dxa" w:w="1040"/>
            <w:vAlign w:val="center"/>
          </w:tcPr>
          <w:p>
            <w:pPr>
              <w:spacing w:before="0" w:after="0" w:line="252" w:lineRule="auto"/>
              <w:jc w:val="center"/>
            </w:pPr>
            <w:r/>
            <w:r>
              <w:rPr>
                <w:rFonts w:ascii="Calibri" w:hAnsi="Calibri" w:eastAsia="Microsoft YaHei"/>
                <w:b w:val="0"/>
                <w:sz w:val="14"/>
              </w:rPr>
              <w:t>0.1067</w:t>
            </w:r>
          </w:p>
        </w:tc>
        <w:tc>
          <w:tcPr>
            <w:tcW w:type="dxa" w:w="1040"/>
            <w:vAlign w:val="center"/>
          </w:tcPr>
          <w:p>
            <w:pPr>
              <w:spacing w:before="0" w:after="0" w:line="252" w:lineRule="auto"/>
              <w:jc w:val="center"/>
            </w:pPr>
            <w:r/>
            <w:r>
              <w:rPr>
                <w:rFonts w:ascii="Calibri" w:hAnsi="Calibri" w:eastAsia="Microsoft YaHei"/>
                <w:b w:val="0"/>
                <w:sz w:val="14"/>
              </w:rPr>
              <w:t>0.6356</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VAEIPS</w:t>
            </w:r>
          </w:p>
        </w:tc>
        <w:tc>
          <w:tcPr>
            <w:tcW w:type="dxa" w:w="1040"/>
            <w:vAlign w:val="center"/>
          </w:tcPr>
          <w:p>
            <w:pPr>
              <w:spacing w:before="0" w:after="0" w:line="252" w:lineRule="auto"/>
              <w:jc w:val="center"/>
            </w:pPr>
            <w:r/>
            <w:r>
              <w:rPr>
                <w:rFonts w:ascii="Calibri" w:hAnsi="Calibri" w:eastAsia="Microsoft YaHei"/>
                <w:b w:val="0"/>
                <w:sz w:val="14"/>
              </w:rPr>
              <w:t>49</w:t>
            </w:r>
          </w:p>
        </w:tc>
        <w:tc>
          <w:tcPr>
            <w:tcW w:type="dxa" w:w="1040"/>
            <w:vAlign w:val="center"/>
          </w:tcPr>
          <w:p>
            <w:pPr>
              <w:spacing w:before="0" w:after="0" w:line="252" w:lineRule="auto"/>
              <w:jc w:val="center"/>
            </w:pPr>
            <w:r/>
            <w:r>
              <w:rPr>
                <w:rFonts w:ascii="Calibri" w:hAnsi="Calibri" w:eastAsia="Microsoft YaHei"/>
                <w:b w:val="0"/>
                <w:sz w:val="14"/>
              </w:rPr>
              <w:t>0.0860</w:t>
            </w:r>
          </w:p>
        </w:tc>
        <w:tc>
          <w:tcPr>
            <w:tcW w:type="dxa" w:w="1040"/>
            <w:vAlign w:val="center"/>
          </w:tcPr>
          <w:p>
            <w:pPr>
              <w:spacing w:before="0" w:after="0" w:line="252" w:lineRule="auto"/>
              <w:jc w:val="center"/>
            </w:pPr>
            <w:r/>
            <w:r>
              <w:rPr>
                <w:rFonts w:ascii="Calibri" w:hAnsi="Calibri" w:eastAsia="Microsoft YaHei"/>
                <w:b w:val="0"/>
                <w:sz w:val="14"/>
              </w:rPr>
              <w:t>0.0549</w:t>
            </w:r>
          </w:p>
        </w:tc>
        <w:tc>
          <w:tcPr>
            <w:tcW w:type="dxa" w:w="1040"/>
            <w:vAlign w:val="center"/>
          </w:tcPr>
          <w:p>
            <w:pPr>
              <w:spacing w:before="0" w:after="0" w:line="252" w:lineRule="auto"/>
              <w:jc w:val="center"/>
            </w:pPr>
            <w:r/>
            <w:r>
              <w:rPr>
                <w:rFonts w:ascii="Calibri" w:hAnsi="Calibri" w:eastAsia="Microsoft YaHei"/>
                <w:b w:val="0"/>
                <w:sz w:val="14"/>
              </w:rPr>
              <w:t>0.3349</w:t>
            </w:r>
          </w:p>
        </w:tc>
        <w:tc>
          <w:tcPr>
            <w:tcW w:type="dxa" w:w="1040"/>
            <w:vAlign w:val="center"/>
          </w:tcPr>
          <w:p>
            <w:pPr>
              <w:spacing w:before="0" w:after="0" w:line="252" w:lineRule="auto"/>
              <w:jc w:val="center"/>
            </w:pPr>
            <w:r/>
            <w:r>
              <w:rPr>
                <w:rFonts w:ascii="Calibri" w:hAnsi="Calibri" w:eastAsia="Microsoft YaHei"/>
                <w:b w:val="0"/>
                <w:sz w:val="14"/>
              </w:rPr>
              <w:t>0.1767</w:t>
            </w:r>
          </w:p>
        </w:tc>
        <w:tc>
          <w:tcPr>
            <w:tcW w:type="dxa" w:w="1040"/>
            <w:vAlign w:val="center"/>
          </w:tcPr>
          <w:p>
            <w:pPr>
              <w:spacing w:before="0" w:after="0" w:line="252" w:lineRule="auto"/>
              <w:jc w:val="center"/>
            </w:pPr>
            <w:r/>
            <w:r>
              <w:rPr>
                <w:rFonts w:ascii="Calibri" w:hAnsi="Calibri" w:eastAsia="Microsoft YaHei"/>
                <w:b w:val="0"/>
                <w:sz w:val="14"/>
              </w:rPr>
              <w:t>0.0853</w:t>
            </w:r>
          </w:p>
        </w:tc>
        <w:tc>
          <w:tcPr>
            <w:tcW w:type="dxa" w:w="1040"/>
            <w:vAlign w:val="center"/>
          </w:tcPr>
          <w:p>
            <w:pPr>
              <w:spacing w:before="0" w:after="0" w:line="252" w:lineRule="auto"/>
              <w:jc w:val="center"/>
            </w:pPr>
            <w:r/>
            <w:r>
              <w:rPr>
                <w:rFonts w:ascii="Calibri" w:hAnsi="Calibri" w:eastAsia="Microsoft YaHei"/>
                <w:b w:val="0"/>
                <w:sz w:val="14"/>
              </w:rPr>
              <w:t>0.5515</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VAEDICE</w:t>
            </w:r>
          </w:p>
        </w:tc>
        <w:tc>
          <w:tcPr>
            <w:tcW w:type="dxa" w:w="1040"/>
            <w:vAlign w:val="center"/>
          </w:tcPr>
          <w:p>
            <w:pPr>
              <w:spacing w:before="0" w:after="0" w:line="252" w:lineRule="auto"/>
              <w:jc w:val="center"/>
            </w:pPr>
            <w:r/>
            <w:r>
              <w:rPr>
                <w:rFonts w:ascii="Calibri" w:hAnsi="Calibri" w:eastAsia="Microsoft YaHei"/>
                <w:b w:val="0"/>
                <w:sz w:val="14"/>
              </w:rPr>
              <w:t>49</w:t>
            </w:r>
          </w:p>
        </w:tc>
        <w:tc>
          <w:tcPr>
            <w:tcW w:type="dxa" w:w="1040"/>
            <w:vAlign w:val="center"/>
          </w:tcPr>
          <w:p>
            <w:pPr>
              <w:spacing w:before="0" w:after="0" w:line="252" w:lineRule="auto"/>
              <w:jc w:val="center"/>
            </w:pPr>
            <w:r/>
            <w:r>
              <w:rPr>
                <w:rFonts w:ascii="Calibri" w:hAnsi="Calibri" w:eastAsia="Microsoft YaHei"/>
                <w:b w:val="0"/>
                <w:sz w:val="14"/>
              </w:rPr>
              <w:t>0.1664</w:t>
            </w:r>
          </w:p>
        </w:tc>
        <w:tc>
          <w:tcPr>
            <w:tcW w:type="dxa" w:w="1040"/>
            <w:vAlign w:val="center"/>
          </w:tcPr>
          <w:p>
            <w:pPr>
              <w:spacing w:before="0" w:after="0" w:line="252" w:lineRule="auto"/>
              <w:jc w:val="center"/>
            </w:pPr>
            <w:r/>
            <w:r>
              <w:rPr>
                <w:rFonts w:ascii="Calibri" w:hAnsi="Calibri" w:eastAsia="Microsoft YaHei"/>
                <w:b w:val="0"/>
                <w:sz w:val="14"/>
              </w:rPr>
              <w:t>0.1120</w:t>
            </w:r>
          </w:p>
        </w:tc>
        <w:tc>
          <w:tcPr>
            <w:tcW w:type="dxa" w:w="1040"/>
            <w:vAlign w:val="center"/>
          </w:tcPr>
          <w:p>
            <w:pPr>
              <w:spacing w:before="0" w:after="0" w:line="252" w:lineRule="auto"/>
              <w:jc w:val="center"/>
            </w:pPr>
            <w:r/>
            <w:r>
              <w:rPr>
                <w:rFonts w:ascii="Calibri" w:hAnsi="Calibri" w:eastAsia="Microsoft YaHei"/>
                <w:b w:val="0"/>
                <w:sz w:val="14"/>
              </w:rPr>
              <w:t>0.5474</w:t>
            </w:r>
          </w:p>
        </w:tc>
        <w:tc>
          <w:tcPr>
            <w:tcW w:type="dxa" w:w="1040"/>
            <w:vAlign w:val="center"/>
          </w:tcPr>
          <w:p>
            <w:pPr>
              <w:spacing w:before="0" w:after="0" w:line="252" w:lineRule="auto"/>
              <w:jc w:val="center"/>
            </w:pPr>
            <w:r/>
            <w:r>
              <w:rPr>
                <w:rFonts w:ascii="Calibri" w:hAnsi="Calibri" w:eastAsia="Microsoft YaHei"/>
                <w:b w:val="0"/>
                <w:sz w:val="14"/>
              </w:rPr>
              <w:t>0.2924</w:t>
            </w:r>
          </w:p>
        </w:tc>
        <w:tc>
          <w:tcPr>
            <w:tcW w:type="dxa" w:w="1040"/>
            <w:vAlign w:val="center"/>
          </w:tcPr>
          <w:p>
            <w:pPr>
              <w:spacing w:before="0" w:after="0" w:line="252" w:lineRule="auto"/>
              <w:jc w:val="center"/>
            </w:pPr>
            <w:r/>
            <w:r>
              <w:rPr>
                <w:rFonts w:ascii="Calibri" w:hAnsi="Calibri" w:eastAsia="Microsoft YaHei"/>
                <w:b w:val="0"/>
                <w:sz w:val="14"/>
              </w:rPr>
              <w:t>0.1535</w:t>
            </w:r>
          </w:p>
        </w:tc>
        <w:tc>
          <w:tcPr>
            <w:tcW w:type="dxa" w:w="1040"/>
            <w:vAlign w:val="center"/>
          </w:tcPr>
          <w:p>
            <w:pPr>
              <w:spacing w:before="0" w:after="0" w:line="252" w:lineRule="auto"/>
              <w:jc w:val="center"/>
            </w:pPr>
            <w:r/>
            <w:r>
              <w:rPr>
                <w:rFonts w:ascii="Calibri" w:hAnsi="Calibri" w:eastAsia="Microsoft YaHei"/>
                <w:b w:val="0"/>
                <w:sz w:val="14"/>
              </w:rPr>
              <w:t>0.7426</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VAE</w:t>
            </w:r>
          </w:p>
        </w:tc>
        <w:tc>
          <w:tcPr>
            <w:tcW w:type="dxa" w:w="1040"/>
            <w:vAlign w:val="center"/>
          </w:tcPr>
          <w:p>
            <w:pPr>
              <w:spacing w:before="0" w:after="0" w:line="252" w:lineRule="auto"/>
              <w:jc w:val="center"/>
            </w:pPr>
            <w:r/>
            <w:r>
              <w:rPr>
                <w:rFonts w:ascii="Calibri" w:hAnsi="Calibri" w:eastAsia="Microsoft YaHei"/>
                <w:b w:val="0"/>
                <w:sz w:val="14"/>
              </w:rPr>
              <w:t>47</w:t>
            </w:r>
          </w:p>
        </w:tc>
        <w:tc>
          <w:tcPr>
            <w:tcW w:type="dxa" w:w="1040"/>
            <w:vAlign w:val="center"/>
          </w:tcPr>
          <w:p>
            <w:pPr>
              <w:spacing w:before="0" w:after="0" w:line="252" w:lineRule="auto"/>
              <w:jc w:val="center"/>
            </w:pPr>
            <w:r/>
            <w:r>
              <w:rPr>
                <w:rFonts w:ascii="Calibri" w:hAnsi="Calibri" w:eastAsia="Microsoft YaHei"/>
                <w:b w:val="0"/>
                <w:sz w:val="14"/>
              </w:rPr>
              <w:t>0.2652</w:t>
            </w:r>
          </w:p>
        </w:tc>
        <w:tc>
          <w:tcPr>
            <w:tcW w:type="dxa" w:w="1040"/>
            <w:vAlign w:val="center"/>
          </w:tcPr>
          <w:p>
            <w:pPr>
              <w:spacing w:before="0" w:after="0" w:line="252" w:lineRule="auto"/>
              <w:jc w:val="center"/>
            </w:pPr>
            <w:r/>
            <w:r>
              <w:rPr>
                <w:rFonts w:ascii="Calibri" w:hAnsi="Calibri" w:eastAsia="Microsoft YaHei"/>
                <w:b w:val="0"/>
                <w:sz w:val="14"/>
              </w:rPr>
              <w:t>0.1916</w:t>
            </w:r>
          </w:p>
        </w:tc>
        <w:tc>
          <w:tcPr>
            <w:tcW w:type="dxa" w:w="1040"/>
            <w:vAlign w:val="center"/>
          </w:tcPr>
          <w:p>
            <w:pPr>
              <w:spacing w:before="0" w:after="0" w:line="252" w:lineRule="auto"/>
              <w:jc w:val="center"/>
            </w:pPr>
            <w:r/>
            <w:r>
              <w:rPr>
                <w:rFonts w:ascii="Calibri" w:hAnsi="Calibri" w:eastAsia="Microsoft YaHei"/>
                <w:b w:val="0"/>
                <w:sz w:val="14"/>
              </w:rPr>
              <w:t>0.7531</w:t>
            </w:r>
          </w:p>
        </w:tc>
        <w:tc>
          <w:tcPr>
            <w:tcW w:type="dxa" w:w="1040"/>
            <w:vAlign w:val="center"/>
          </w:tcPr>
          <w:p>
            <w:pPr>
              <w:spacing w:before="0" w:after="0" w:line="252" w:lineRule="auto"/>
              <w:jc w:val="center"/>
            </w:pPr>
            <w:r/>
            <w:r>
              <w:rPr>
                <w:rFonts w:ascii="Calibri" w:hAnsi="Calibri" w:eastAsia="Microsoft YaHei"/>
                <w:b w:val="0"/>
                <w:sz w:val="14"/>
              </w:rPr>
              <w:t>0.4324</w:t>
            </w:r>
          </w:p>
        </w:tc>
        <w:tc>
          <w:tcPr>
            <w:tcW w:type="dxa" w:w="1040"/>
            <w:vAlign w:val="center"/>
          </w:tcPr>
          <w:p>
            <w:pPr>
              <w:spacing w:before="0" w:after="0" w:line="252" w:lineRule="auto"/>
              <w:jc w:val="center"/>
            </w:pPr>
            <w:r/>
            <w:r>
              <w:rPr>
                <w:rFonts w:ascii="Calibri" w:hAnsi="Calibri" w:eastAsia="Microsoft YaHei"/>
                <w:b w:val="0"/>
                <w:sz w:val="14"/>
              </w:rPr>
              <w:t>0.2463</w:t>
            </w:r>
          </w:p>
        </w:tc>
        <w:tc>
          <w:tcPr>
            <w:tcW w:type="dxa" w:w="1040"/>
            <w:vAlign w:val="center"/>
          </w:tcPr>
          <w:p>
            <w:pPr>
              <w:spacing w:before="0" w:after="0" w:line="252" w:lineRule="auto"/>
              <w:jc w:val="center"/>
            </w:pPr>
            <w:r/>
            <w:r>
              <w:rPr>
                <w:rFonts w:ascii="Calibri" w:hAnsi="Calibri" w:eastAsia="Microsoft YaHei"/>
                <w:b w:val="0"/>
                <w:sz w:val="14"/>
              </w:rPr>
              <w:t>0.8891</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VAEIPS</w:t>
            </w:r>
          </w:p>
        </w:tc>
        <w:tc>
          <w:tcPr>
            <w:tcW w:type="dxa" w:w="1040"/>
            <w:vAlign w:val="center"/>
          </w:tcPr>
          <w:p>
            <w:pPr>
              <w:spacing w:before="0" w:after="0" w:line="252" w:lineRule="auto"/>
              <w:jc w:val="center"/>
            </w:pPr>
            <w:r/>
            <w:r>
              <w:rPr>
                <w:rFonts w:ascii="Calibri" w:hAnsi="Calibri" w:eastAsia="Microsoft YaHei"/>
                <w:b w:val="0"/>
                <w:sz w:val="14"/>
              </w:rPr>
              <w:t>49</w:t>
            </w:r>
          </w:p>
        </w:tc>
        <w:tc>
          <w:tcPr>
            <w:tcW w:type="dxa" w:w="1040"/>
            <w:vAlign w:val="center"/>
          </w:tcPr>
          <w:p>
            <w:pPr>
              <w:spacing w:before="0" w:after="0" w:line="252" w:lineRule="auto"/>
              <w:jc w:val="center"/>
            </w:pPr>
            <w:r/>
            <w:r>
              <w:rPr>
                <w:rFonts w:ascii="Calibri" w:hAnsi="Calibri" w:eastAsia="Microsoft YaHei"/>
                <w:b w:val="0"/>
                <w:sz w:val="14"/>
              </w:rPr>
              <w:t>0.1003</w:t>
            </w:r>
          </w:p>
        </w:tc>
        <w:tc>
          <w:tcPr>
            <w:tcW w:type="dxa" w:w="1040"/>
            <w:vAlign w:val="center"/>
          </w:tcPr>
          <w:p>
            <w:pPr>
              <w:spacing w:before="0" w:after="0" w:line="252" w:lineRule="auto"/>
              <w:jc w:val="center"/>
            </w:pPr>
            <w:r/>
            <w:r>
              <w:rPr>
                <w:rFonts w:ascii="Calibri" w:hAnsi="Calibri" w:eastAsia="Microsoft YaHei"/>
                <w:b w:val="0"/>
                <w:sz w:val="14"/>
              </w:rPr>
              <w:t>0.0616</w:t>
            </w:r>
          </w:p>
        </w:tc>
        <w:tc>
          <w:tcPr>
            <w:tcW w:type="dxa" w:w="1040"/>
            <w:vAlign w:val="center"/>
          </w:tcPr>
          <w:p>
            <w:pPr>
              <w:spacing w:before="0" w:after="0" w:line="252" w:lineRule="auto"/>
              <w:jc w:val="center"/>
            </w:pPr>
            <w:r/>
            <w:r>
              <w:rPr>
                <w:rFonts w:ascii="Calibri" w:hAnsi="Calibri" w:eastAsia="Microsoft YaHei"/>
                <w:b w:val="0"/>
                <w:sz w:val="14"/>
              </w:rPr>
              <w:t>0.3772</w:t>
            </w:r>
          </w:p>
        </w:tc>
        <w:tc>
          <w:tcPr>
            <w:tcW w:type="dxa" w:w="1040"/>
            <w:vAlign w:val="center"/>
          </w:tcPr>
          <w:p>
            <w:pPr>
              <w:spacing w:before="0" w:after="0" w:line="252" w:lineRule="auto"/>
              <w:jc w:val="center"/>
            </w:pPr>
            <w:r/>
            <w:r>
              <w:rPr>
                <w:rFonts w:ascii="Calibri" w:hAnsi="Calibri" w:eastAsia="Microsoft YaHei"/>
                <w:b w:val="0"/>
                <w:sz w:val="14"/>
              </w:rPr>
              <w:t>0.2135</w:t>
            </w:r>
          </w:p>
        </w:tc>
        <w:tc>
          <w:tcPr>
            <w:tcW w:type="dxa" w:w="1040"/>
            <w:vAlign w:val="center"/>
          </w:tcPr>
          <w:p>
            <w:pPr>
              <w:spacing w:before="0" w:after="0" w:line="252" w:lineRule="auto"/>
              <w:jc w:val="center"/>
            </w:pPr>
            <w:r/>
            <w:r>
              <w:rPr>
                <w:rFonts w:ascii="Calibri" w:hAnsi="Calibri" w:eastAsia="Microsoft YaHei"/>
                <w:b w:val="0"/>
                <w:sz w:val="14"/>
              </w:rPr>
              <w:t>0.0985</w:t>
            </w:r>
          </w:p>
        </w:tc>
        <w:tc>
          <w:tcPr>
            <w:tcW w:type="dxa" w:w="1040"/>
            <w:vAlign w:val="center"/>
          </w:tcPr>
          <w:p>
            <w:pPr>
              <w:spacing w:before="0" w:after="0" w:line="252" w:lineRule="auto"/>
              <w:jc w:val="center"/>
            </w:pPr>
            <w:r/>
            <w:r>
              <w:rPr>
                <w:rFonts w:ascii="Calibri" w:hAnsi="Calibri" w:eastAsia="Microsoft YaHei"/>
                <w:b w:val="0"/>
                <w:sz w:val="14"/>
              </w:rPr>
              <w:t>0.6527</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VAEDICE</w:t>
            </w:r>
          </w:p>
        </w:tc>
        <w:tc>
          <w:tcPr>
            <w:tcW w:type="dxa" w:w="1040"/>
            <w:vAlign w:val="center"/>
          </w:tcPr>
          <w:p>
            <w:pPr>
              <w:spacing w:before="0" w:after="0" w:line="252" w:lineRule="auto"/>
              <w:jc w:val="center"/>
            </w:pPr>
            <w:r/>
            <w:r>
              <w:rPr>
                <w:rFonts w:ascii="Calibri" w:hAnsi="Calibri" w:eastAsia="Microsoft YaHei"/>
                <w:b w:val="0"/>
                <w:sz w:val="14"/>
              </w:rPr>
              <w:t>48</w:t>
            </w:r>
          </w:p>
        </w:tc>
        <w:tc>
          <w:tcPr>
            <w:tcW w:type="dxa" w:w="1040"/>
            <w:vAlign w:val="center"/>
          </w:tcPr>
          <w:p>
            <w:pPr>
              <w:spacing w:before="0" w:after="0" w:line="252" w:lineRule="auto"/>
              <w:jc w:val="center"/>
            </w:pPr>
            <w:r/>
            <w:r>
              <w:rPr>
                <w:rFonts w:ascii="Calibri" w:hAnsi="Calibri" w:eastAsia="Microsoft YaHei"/>
                <w:b w:val="0"/>
                <w:sz w:val="14"/>
              </w:rPr>
              <w:t>0.1774</w:t>
            </w:r>
          </w:p>
        </w:tc>
        <w:tc>
          <w:tcPr>
            <w:tcW w:type="dxa" w:w="1040"/>
            <w:vAlign w:val="center"/>
          </w:tcPr>
          <w:p>
            <w:pPr>
              <w:spacing w:before="0" w:after="0" w:line="252" w:lineRule="auto"/>
              <w:jc w:val="center"/>
            </w:pPr>
            <w:r/>
            <w:r>
              <w:rPr>
                <w:rFonts w:ascii="Calibri" w:hAnsi="Calibri" w:eastAsia="Microsoft YaHei"/>
                <w:b w:val="0"/>
                <w:sz w:val="14"/>
              </w:rPr>
              <w:t>0.1161</w:t>
            </w:r>
          </w:p>
        </w:tc>
        <w:tc>
          <w:tcPr>
            <w:tcW w:type="dxa" w:w="1040"/>
            <w:vAlign w:val="center"/>
          </w:tcPr>
          <w:p>
            <w:pPr>
              <w:spacing w:before="0" w:after="0" w:line="252" w:lineRule="auto"/>
              <w:jc w:val="center"/>
            </w:pPr>
            <w:r/>
            <w:r>
              <w:rPr>
                <w:rFonts w:ascii="Calibri" w:hAnsi="Calibri" w:eastAsia="Microsoft YaHei"/>
                <w:b w:val="0"/>
                <w:sz w:val="14"/>
              </w:rPr>
              <w:t>0.5965</w:t>
            </w:r>
          </w:p>
        </w:tc>
        <w:tc>
          <w:tcPr>
            <w:tcW w:type="dxa" w:w="1040"/>
            <w:vAlign w:val="center"/>
          </w:tcPr>
          <w:p>
            <w:pPr>
              <w:spacing w:before="0" w:after="0" w:line="252" w:lineRule="auto"/>
              <w:jc w:val="center"/>
            </w:pPr>
            <w:r/>
            <w:r>
              <w:rPr>
                <w:rFonts w:ascii="Calibri" w:hAnsi="Calibri" w:eastAsia="Microsoft YaHei"/>
                <w:b w:val="0"/>
                <w:sz w:val="14"/>
              </w:rPr>
              <w:t>0.3370</w:t>
            </w:r>
          </w:p>
        </w:tc>
        <w:tc>
          <w:tcPr>
            <w:tcW w:type="dxa" w:w="1040"/>
            <w:vAlign w:val="center"/>
          </w:tcPr>
          <w:p>
            <w:pPr>
              <w:spacing w:before="0" w:after="0" w:line="252" w:lineRule="auto"/>
              <w:jc w:val="center"/>
            </w:pPr>
            <w:r/>
            <w:r>
              <w:rPr>
                <w:rFonts w:ascii="Calibri" w:hAnsi="Calibri" w:eastAsia="Microsoft YaHei"/>
                <w:b w:val="0"/>
                <w:sz w:val="14"/>
              </w:rPr>
              <w:t>0.1701</w:t>
            </w:r>
          </w:p>
        </w:tc>
        <w:tc>
          <w:tcPr>
            <w:tcW w:type="dxa" w:w="1040"/>
            <w:vAlign w:val="center"/>
          </w:tcPr>
          <w:p>
            <w:pPr>
              <w:spacing w:before="0" w:after="0" w:line="252" w:lineRule="auto"/>
              <w:jc w:val="center"/>
            </w:pPr>
            <w:r/>
            <w:r>
              <w:rPr>
                <w:rFonts w:ascii="Calibri" w:hAnsi="Calibri" w:eastAsia="Microsoft YaHei"/>
                <w:b w:val="0"/>
                <w:sz w:val="14"/>
              </w:rPr>
              <w:t>0.8163</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VAE</w:t>
            </w:r>
          </w:p>
        </w:tc>
        <w:tc>
          <w:tcPr>
            <w:tcW w:type="dxa" w:w="1040"/>
            <w:vAlign w:val="center"/>
          </w:tcPr>
          <w:p>
            <w:pPr>
              <w:spacing w:before="0" w:after="0" w:line="252" w:lineRule="auto"/>
              <w:jc w:val="center"/>
            </w:pPr>
            <w:r/>
            <w:r>
              <w:rPr>
                <w:rFonts w:ascii="Calibri" w:hAnsi="Calibri" w:eastAsia="Microsoft YaHei"/>
                <w:b w:val="0"/>
                <w:sz w:val="14"/>
              </w:rPr>
              <w:t>48</w:t>
            </w:r>
          </w:p>
        </w:tc>
        <w:tc>
          <w:tcPr>
            <w:tcW w:type="dxa" w:w="1040"/>
            <w:vAlign w:val="center"/>
          </w:tcPr>
          <w:p>
            <w:pPr>
              <w:spacing w:before="0" w:after="0" w:line="252" w:lineRule="auto"/>
              <w:jc w:val="center"/>
            </w:pPr>
            <w:r/>
            <w:r>
              <w:rPr>
                <w:rFonts w:ascii="Calibri" w:hAnsi="Calibri" w:eastAsia="Microsoft YaHei"/>
                <w:b w:val="0"/>
                <w:sz w:val="14"/>
              </w:rPr>
              <w:t>0.3340</w:t>
            </w:r>
          </w:p>
        </w:tc>
        <w:tc>
          <w:tcPr>
            <w:tcW w:type="dxa" w:w="1040"/>
            <w:vAlign w:val="center"/>
          </w:tcPr>
          <w:p>
            <w:pPr>
              <w:spacing w:before="0" w:after="0" w:line="252" w:lineRule="auto"/>
              <w:jc w:val="center"/>
            </w:pPr>
            <w:r/>
            <w:r>
              <w:rPr>
                <w:rFonts w:ascii="Calibri" w:hAnsi="Calibri" w:eastAsia="Microsoft YaHei"/>
                <w:b w:val="0"/>
                <w:sz w:val="14"/>
              </w:rPr>
              <w:t>0.2373</w:t>
            </w:r>
          </w:p>
        </w:tc>
        <w:tc>
          <w:tcPr>
            <w:tcW w:type="dxa" w:w="1040"/>
            <w:vAlign w:val="center"/>
          </w:tcPr>
          <w:p>
            <w:pPr>
              <w:spacing w:before="0" w:after="0" w:line="252" w:lineRule="auto"/>
              <w:jc w:val="center"/>
            </w:pPr>
            <w:r/>
            <w:r>
              <w:rPr>
                <w:rFonts w:ascii="Calibri" w:hAnsi="Calibri" w:eastAsia="Microsoft YaHei"/>
                <w:b w:val="0"/>
                <w:sz w:val="14"/>
              </w:rPr>
              <w:t>0.8059</w:t>
            </w:r>
          </w:p>
        </w:tc>
        <w:tc>
          <w:tcPr>
            <w:tcW w:type="dxa" w:w="1040"/>
            <w:vAlign w:val="center"/>
          </w:tcPr>
          <w:p>
            <w:pPr>
              <w:spacing w:before="0" w:after="0" w:line="252" w:lineRule="auto"/>
              <w:jc w:val="center"/>
            </w:pPr>
            <w:r/>
            <w:r>
              <w:rPr>
                <w:rFonts w:ascii="Calibri" w:hAnsi="Calibri" w:eastAsia="Microsoft YaHei"/>
                <w:b w:val="0"/>
                <w:sz w:val="14"/>
              </w:rPr>
              <w:t>0.5398</w:t>
            </w:r>
          </w:p>
        </w:tc>
        <w:tc>
          <w:tcPr>
            <w:tcW w:type="dxa" w:w="1040"/>
            <w:vAlign w:val="center"/>
          </w:tcPr>
          <w:p>
            <w:pPr>
              <w:spacing w:before="0" w:after="0" w:line="252" w:lineRule="auto"/>
              <w:jc w:val="center"/>
            </w:pPr>
            <w:r/>
            <w:r>
              <w:rPr>
                <w:rFonts w:ascii="Calibri" w:hAnsi="Calibri" w:eastAsia="Microsoft YaHei"/>
                <w:b w:val="0"/>
                <w:sz w:val="14"/>
              </w:rPr>
              <w:t>0.3076</w:t>
            </w:r>
          </w:p>
        </w:tc>
        <w:tc>
          <w:tcPr>
            <w:tcW w:type="dxa" w:w="1040"/>
            <w:vAlign w:val="center"/>
          </w:tcPr>
          <w:p>
            <w:pPr>
              <w:spacing w:before="0" w:after="0" w:line="252" w:lineRule="auto"/>
              <w:jc w:val="center"/>
            </w:pPr>
            <w:r/>
            <w:r>
              <w:rPr>
                <w:rFonts w:ascii="Calibri" w:hAnsi="Calibri" w:eastAsia="Microsoft YaHei"/>
                <w:b w:val="0"/>
                <w:sz w:val="14"/>
              </w:rPr>
              <w:t>0.9332</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VAEIPS</w:t>
            </w:r>
          </w:p>
        </w:tc>
        <w:tc>
          <w:tcPr>
            <w:tcW w:type="dxa" w:w="1040"/>
            <w:vAlign w:val="center"/>
          </w:tcPr>
          <w:p>
            <w:pPr>
              <w:spacing w:before="0" w:after="0" w:line="252" w:lineRule="auto"/>
              <w:jc w:val="center"/>
            </w:pPr>
            <w:r/>
            <w:r>
              <w:rPr>
                <w:rFonts w:ascii="Calibri" w:hAnsi="Calibri" w:eastAsia="Microsoft YaHei"/>
                <w:b w:val="0"/>
                <w:sz w:val="14"/>
              </w:rPr>
              <w:t>49</w:t>
            </w:r>
          </w:p>
        </w:tc>
        <w:tc>
          <w:tcPr>
            <w:tcW w:type="dxa" w:w="1040"/>
            <w:vAlign w:val="center"/>
          </w:tcPr>
          <w:p>
            <w:pPr>
              <w:spacing w:before="0" w:after="0" w:line="252" w:lineRule="auto"/>
              <w:jc w:val="center"/>
            </w:pPr>
            <w:r/>
            <w:r>
              <w:rPr>
                <w:rFonts w:ascii="Calibri" w:hAnsi="Calibri" w:eastAsia="Microsoft YaHei"/>
                <w:b w:val="0"/>
                <w:sz w:val="14"/>
              </w:rPr>
              <w:t>0.0824</w:t>
            </w:r>
          </w:p>
        </w:tc>
        <w:tc>
          <w:tcPr>
            <w:tcW w:type="dxa" w:w="1040"/>
            <w:vAlign w:val="center"/>
          </w:tcPr>
          <w:p>
            <w:pPr>
              <w:spacing w:before="0" w:after="0" w:line="252" w:lineRule="auto"/>
              <w:jc w:val="center"/>
            </w:pPr>
            <w:r/>
            <w:r>
              <w:rPr>
                <w:rFonts w:ascii="Calibri" w:hAnsi="Calibri" w:eastAsia="Microsoft YaHei"/>
                <w:b w:val="0"/>
                <w:sz w:val="14"/>
              </w:rPr>
              <w:t>0.0476</w:t>
            </w:r>
          </w:p>
        </w:tc>
        <w:tc>
          <w:tcPr>
            <w:tcW w:type="dxa" w:w="1040"/>
            <w:vAlign w:val="center"/>
          </w:tcPr>
          <w:p>
            <w:pPr>
              <w:spacing w:before="0" w:after="0" w:line="252" w:lineRule="auto"/>
              <w:jc w:val="center"/>
            </w:pPr>
            <w:r/>
            <w:r>
              <w:rPr>
                <w:rFonts w:ascii="Calibri" w:hAnsi="Calibri" w:eastAsia="Microsoft YaHei"/>
                <w:b w:val="0"/>
                <w:sz w:val="14"/>
              </w:rPr>
              <w:t>0.2847</w:t>
            </w:r>
          </w:p>
        </w:tc>
        <w:tc>
          <w:tcPr>
            <w:tcW w:type="dxa" w:w="1040"/>
            <w:vAlign w:val="center"/>
          </w:tcPr>
          <w:p>
            <w:pPr>
              <w:spacing w:before="0" w:after="0" w:line="252" w:lineRule="auto"/>
              <w:jc w:val="center"/>
            </w:pPr>
            <w:r/>
            <w:r>
              <w:rPr>
                <w:rFonts w:ascii="Calibri" w:hAnsi="Calibri" w:eastAsia="Microsoft YaHei"/>
                <w:b w:val="0"/>
                <w:sz w:val="14"/>
              </w:rPr>
              <w:t>0.1861</w:t>
            </w:r>
          </w:p>
        </w:tc>
        <w:tc>
          <w:tcPr>
            <w:tcW w:type="dxa" w:w="1040"/>
            <w:vAlign w:val="center"/>
          </w:tcPr>
          <w:p>
            <w:pPr>
              <w:spacing w:before="0" w:after="0" w:line="252" w:lineRule="auto"/>
              <w:jc w:val="center"/>
            </w:pPr>
            <w:r/>
            <w:r>
              <w:rPr>
                <w:rFonts w:ascii="Calibri" w:hAnsi="Calibri" w:eastAsia="Microsoft YaHei"/>
                <w:b w:val="0"/>
                <w:sz w:val="14"/>
              </w:rPr>
              <w:t>0.0807</w:t>
            </w:r>
          </w:p>
        </w:tc>
        <w:tc>
          <w:tcPr>
            <w:tcW w:type="dxa" w:w="1040"/>
            <w:vAlign w:val="center"/>
          </w:tcPr>
          <w:p>
            <w:pPr>
              <w:spacing w:before="0" w:after="0" w:line="252" w:lineRule="auto"/>
              <w:jc w:val="center"/>
            </w:pPr>
            <w:r/>
            <w:r>
              <w:rPr>
                <w:rFonts w:ascii="Calibri" w:hAnsi="Calibri" w:eastAsia="Microsoft YaHei"/>
                <w:b w:val="0"/>
                <w:sz w:val="14"/>
              </w:rPr>
              <w:t>0.5516</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VAEDICE</w:t>
            </w:r>
          </w:p>
        </w:tc>
        <w:tc>
          <w:tcPr>
            <w:tcW w:type="dxa" w:w="1040"/>
            <w:vAlign w:val="center"/>
          </w:tcPr>
          <w:p>
            <w:pPr>
              <w:spacing w:before="0" w:after="0" w:line="252" w:lineRule="auto"/>
              <w:jc w:val="center"/>
            </w:pPr>
            <w:r/>
            <w:r>
              <w:rPr>
                <w:rFonts w:ascii="Calibri" w:hAnsi="Calibri" w:eastAsia="Microsoft YaHei"/>
                <w:b w:val="0"/>
                <w:sz w:val="14"/>
              </w:rPr>
              <w:t>42</w:t>
            </w:r>
          </w:p>
        </w:tc>
        <w:tc>
          <w:tcPr>
            <w:tcW w:type="dxa" w:w="1040"/>
            <w:vAlign w:val="center"/>
          </w:tcPr>
          <w:p>
            <w:pPr>
              <w:spacing w:before="0" w:after="0" w:line="252" w:lineRule="auto"/>
              <w:jc w:val="center"/>
            </w:pPr>
            <w:r/>
            <w:r>
              <w:rPr>
                <w:rFonts w:ascii="Calibri" w:hAnsi="Calibri" w:eastAsia="Microsoft YaHei"/>
                <w:b w:val="0"/>
                <w:sz w:val="14"/>
              </w:rPr>
              <w:t>0.1102</w:t>
            </w:r>
          </w:p>
        </w:tc>
        <w:tc>
          <w:tcPr>
            <w:tcW w:type="dxa" w:w="1040"/>
            <w:vAlign w:val="center"/>
          </w:tcPr>
          <w:p>
            <w:pPr>
              <w:spacing w:before="0" w:after="0" w:line="252" w:lineRule="auto"/>
              <w:jc w:val="center"/>
            </w:pPr>
            <w:r/>
            <w:r>
              <w:rPr>
                <w:rFonts w:ascii="Calibri" w:hAnsi="Calibri" w:eastAsia="Microsoft YaHei"/>
                <w:b w:val="0"/>
                <w:sz w:val="14"/>
              </w:rPr>
              <w:t>0.0673</w:t>
            </w:r>
          </w:p>
        </w:tc>
        <w:tc>
          <w:tcPr>
            <w:tcW w:type="dxa" w:w="1040"/>
            <w:vAlign w:val="center"/>
          </w:tcPr>
          <w:p>
            <w:pPr>
              <w:spacing w:before="0" w:after="0" w:line="252" w:lineRule="auto"/>
              <w:jc w:val="center"/>
            </w:pPr>
            <w:r/>
            <w:r>
              <w:rPr>
                <w:rFonts w:ascii="Calibri" w:hAnsi="Calibri" w:eastAsia="Microsoft YaHei"/>
                <w:b w:val="0"/>
                <w:sz w:val="14"/>
              </w:rPr>
              <w:t>0.3822</w:t>
            </w:r>
          </w:p>
        </w:tc>
        <w:tc>
          <w:tcPr>
            <w:tcW w:type="dxa" w:w="1040"/>
            <w:vAlign w:val="center"/>
          </w:tcPr>
          <w:p>
            <w:pPr>
              <w:spacing w:before="0" w:after="0" w:line="252" w:lineRule="auto"/>
              <w:jc w:val="center"/>
            </w:pPr>
            <w:r/>
            <w:r>
              <w:rPr>
                <w:rFonts w:ascii="Calibri" w:hAnsi="Calibri" w:eastAsia="Microsoft YaHei"/>
                <w:b w:val="0"/>
                <w:sz w:val="14"/>
              </w:rPr>
              <w:t>0.2383</w:t>
            </w:r>
          </w:p>
        </w:tc>
        <w:tc>
          <w:tcPr>
            <w:tcW w:type="dxa" w:w="1040"/>
            <w:vAlign w:val="center"/>
          </w:tcPr>
          <w:p>
            <w:pPr>
              <w:spacing w:before="0" w:after="0" w:line="252" w:lineRule="auto"/>
              <w:jc w:val="center"/>
            </w:pPr>
            <w:r/>
            <w:r>
              <w:rPr>
                <w:rFonts w:ascii="Calibri" w:hAnsi="Calibri" w:eastAsia="Microsoft YaHei"/>
                <w:b w:val="0"/>
                <w:sz w:val="14"/>
              </w:rPr>
              <w:t>0.1082</w:t>
            </w:r>
          </w:p>
        </w:tc>
        <w:tc>
          <w:tcPr>
            <w:tcW w:type="dxa" w:w="1040"/>
            <w:vAlign w:val="center"/>
          </w:tcPr>
          <w:p>
            <w:pPr>
              <w:spacing w:before="0" w:after="0" w:line="252" w:lineRule="auto"/>
              <w:jc w:val="center"/>
            </w:pPr>
            <w:r/>
            <w:r>
              <w:rPr>
                <w:rFonts w:ascii="Calibri" w:hAnsi="Calibri" w:eastAsia="Microsoft YaHei"/>
                <w:b w:val="0"/>
                <w:sz w:val="14"/>
              </w:rPr>
              <w:t>0.6690</w:t>
            </w:r>
          </w:p>
        </w:tc>
      </w:tr>
    </w:tbl>
    <w:p>
      <w:pPr>
        <w:spacing w:before="0" w:after="40" w:line="264" w:lineRule="auto"/>
      </w:pPr>
      <w:r>
        <w:rPr>
          <w:rFonts w:ascii="Calibri" w:hAnsi="Calibri" w:eastAsia="Microsoft YaHei"/>
          <w:b w:val="0"/>
          <w:i w:val="0"/>
          <w:sz w:val="22"/>
        </w:rPr>
      </w:r>
    </w:p>
    <w:p>
      <w:pPr>
        <w:jc w:val="center"/>
      </w:pPr>
      <w:r>
        <w:drawing>
          <wp:inline xmlns:a="http://schemas.openxmlformats.org/drawingml/2006/main" xmlns:pic="http://schemas.openxmlformats.org/drawingml/2006/picture">
            <wp:extent cx="5577840" cy="3063884"/>
            <wp:docPr id="3" name="Picture 3"/>
            <wp:cNvGraphicFramePr>
              <a:graphicFrameLocks noChangeAspect="1"/>
            </wp:cNvGraphicFramePr>
            <a:graphic>
              <a:graphicData uri="http://schemas.openxmlformats.org/drawingml/2006/picture">
                <pic:pic>
                  <pic:nvPicPr>
                    <pic:cNvPr id="0" name="fig5_vae_recall20.png"/>
                    <pic:cNvPicPr/>
                  </pic:nvPicPr>
                  <pic:blipFill>
                    <a:blip r:embed="rId13"/>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VAE 系列模型在三类测试分布上的 Recall@20</w:t>
      </w:r>
    </w:p>
    <w:p>
      <w:pPr>
        <w:pStyle w:val="Heading2"/>
        <w:keepNext/>
      </w:pPr>
      <w:r>
        <w:rPr>
          <w:rFonts w:ascii="Calibri" w:hAnsi="Calibri" w:eastAsia="Microsoft YaHei"/>
          <w:b/>
          <w:color w:val="2E74B5"/>
          <w:sz w:val="26"/>
        </w:rPr>
        <w:t>6.3 结果解释</w:t>
      </w:r>
    </w:p>
    <w:p>
      <w:pPr>
        <w:spacing w:after="120" w:line="264" w:lineRule="auto"/>
      </w:pPr>
      <w:r>
        <w:rPr>
          <w:rFonts w:ascii="Calibri" w:hAnsi="Calibri" w:eastAsia="Microsoft YaHei"/>
          <w:b w:val="0"/>
          <w:sz w:val="22"/>
        </w:rPr>
        <w:t>VAE 实验进一步强化了“DICE 是可迁移去偏机制，而不是某个单一模型结构”的论证。Longtail 测试中，VAEDICE 的 Recall@20 为 0.1664，显著高于 VAE 的 0.1136；NDCG@20 从 0.0730 提升到 0.1120，说明在长尾目标上，解耦后的 interest 分支能明显改善潜变量模型的推荐排序。</w:t>
      </w:r>
    </w:p>
    <w:p>
      <w:pPr>
        <w:spacing w:after="120" w:line="264" w:lineRule="auto"/>
      </w:pPr>
      <w:r>
        <w:rPr>
          <w:rFonts w:ascii="Calibri" w:hAnsi="Calibri" w:eastAsia="Microsoft YaHei"/>
          <w:b w:val="0"/>
          <w:sz w:val="22"/>
        </w:rPr>
        <w:t>但在 Uniform 和 Head 测试中，原始 VAE 的准确率最高，VAEDICE 明显下降。这一现象与 NeuMF、NGCF 的结论一致：当测试分布更接近整体交互或热门物品分布时，base 模型能够利用热门物品信号获得更高准确率；DICE 抑制 conformity 后，普通准确率会下降。VAE 扩展的价值因此不在于所有指标全面胜出，而在于证明 DICE 的长尾去偏收益能跨越非线性、图结构和生成式三类不同 backbone。</w:t>
      </w:r>
    </w:p>
    <w:p>
      <w:pPr>
        <w:pStyle w:val="Heading2"/>
        <w:keepNext/>
      </w:pPr>
      <w:r>
        <w:rPr>
          <w:rFonts w:ascii="Calibri" w:hAnsi="Calibri" w:eastAsia="Microsoft YaHei"/>
          <w:b/>
          <w:color w:val="2E74B5"/>
          <w:sz w:val="26"/>
        </w:rPr>
        <w:t>6.4 运行说明</w:t>
      </w:r>
    </w:p>
    <w:p>
      <w:pPr>
        <w:spacing w:after="120" w:line="264" w:lineRule="auto"/>
      </w:pPr>
      <w:r>
        <w:rPr>
          <w:rFonts w:ascii="Calibri" w:hAnsi="Calibri" w:eastAsia="Microsoft YaHei"/>
          <w:b w:val="0"/>
          <w:sz w:val="22"/>
        </w:rPr>
        <w:t>VAE 正式实验共 9 组。前 8 组主脚本完成后，第 9 组 `ml10m_head_vaedice` 因远程实例/SSH 中断停在 RUN 状态，但日志未出现 Traceback、CUDA out of memory 或 Killed。经检查确认无训练进程、GPU 空闲、前 8 个 test_log 完整后，仅补跑第 9 组，最终 9 个 test_log 全部生成，结果已保存到 `D:\codex\智能商务\outputs\vae_full_50`。</w:t>
      </w:r>
    </w:p>
    <w:p>
      <w:pPr>
        <w:pStyle w:val="Heading1"/>
        <w:keepNext/>
      </w:pPr>
      <w:r>
        <w:rPr>
          <w:rFonts w:ascii="Calibri" w:hAnsi="Calibri" w:eastAsia="Microsoft YaHei"/>
          <w:b/>
          <w:color w:val="2E74B5"/>
          <w:sz w:val="32"/>
        </w:rPr>
        <w:t>7. 消融实验与去偏指标分析</w:t>
      </w:r>
    </w:p>
    <w:p>
      <w:pPr>
        <w:pStyle w:val="Heading2"/>
        <w:keepNext/>
      </w:pPr>
      <w:r>
        <w:rPr>
          <w:rFonts w:ascii="Calibri" w:hAnsi="Calibri" w:eastAsia="Microsoft YaHei"/>
          <w:b/>
          <w:color w:val="2E74B5"/>
          <w:sz w:val="26"/>
        </w:rPr>
        <w:t>7.1 消融设计</w:t>
      </w:r>
    </w:p>
    <w:p>
      <w:pPr>
        <w:spacing w:after="120" w:line="264" w:lineRule="auto"/>
      </w:pPr>
      <w:r>
        <w:rPr>
          <w:rFonts w:ascii="Calibri" w:hAnsi="Calibri" w:eastAsia="Microsoft YaHei"/>
          <w:b w:val="0"/>
          <w:sz w:val="22"/>
        </w:rPr>
        <w:t>为了进一步解释 NeuMF-DICE 中哪些机制真正发挥作用，本项目设计四组消融：移除解耦惩罚 no-dis、关闭 adaptive 训练 no-adaptive、降低解耦强度 low-dis、提高解耦强度 high-dis。所有消融均在 Longtail 测试分布下运行，用于分析准确率和去偏目标之间的关系。</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E8EEF5"/>
          </w:tcPr>
          <w:p>
            <w:pPr>
              <w:spacing w:before="0" w:after="0" w:line="252" w:lineRule="auto"/>
              <w:jc w:val="center"/>
            </w:pPr>
            <w:r/>
            <w:r>
              <w:rPr>
                <w:rFonts w:ascii="Calibri" w:hAnsi="Calibri" w:eastAsia="Microsoft YaHei"/>
                <w:b/>
                <w:sz w:val="15"/>
              </w:rPr>
              <w:t>Variant</w:t>
            </w:r>
          </w:p>
        </w:tc>
        <w:tc>
          <w:tcPr>
            <w:tcW w:type="dxa" w:w="1040"/>
            <w:vAlign w:val="center"/>
            <w:shd w:fill="E8EEF5"/>
          </w:tcPr>
          <w:p>
            <w:pPr>
              <w:spacing w:before="0" w:after="0" w:line="252" w:lineRule="auto"/>
              <w:jc w:val="center"/>
            </w:pPr>
            <w:r/>
            <w:r>
              <w:rPr>
                <w:rFonts w:ascii="Calibri" w:hAnsi="Calibri" w:eastAsia="Microsoft YaHei"/>
                <w:b/>
                <w:sz w:val="15"/>
              </w:rPr>
              <w:t>Setting</w:t>
            </w:r>
          </w:p>
        </w:tc>
        <w:tc>
          <w:tcPr>
            <w:tcW w:type="dxa" w:w="1040"/>
            <w:vAlign w:val="center"/>
            <w:shd w:fill="E8EEF5"/>
          </w:tcPr>
          <w:p>
            <w:pPr>
              <w:spacing w:before="0" w:after="0" w:line="252" w:lineRule="auto"/>
              <w:jc w:val="center"/>
            </w:pPr>
            <w:r/>
            <w:r>
              <w:rPr>
                <w:rFonts w:ascii="Calibri" w:hAnsi="Calibri" w:eastAsia="Microsoft YaHei"/>
                <w:b/>
                <w:sz w:val="15"/>
              </w:rPr>
              <w:t>Best</w:t>
            </w:r>
          </w:p>
        </w:tc>
        <w:tc>
          <w:tcPr>
            <w:tcW w:type="dxa" w:w="1040"/>
            <w:vAlign w:val="center"/>
            <w:shd w:fill="E8EEF5"/>
          </w:tcPr>
          <w:p>
            <w:pPr>
              <w:spacing w:before="0" w:after="0" w:line="252" w:lineRule="auto"/>
              <w:jc w:val="center"/>
            </w:pPr>
            <w:r/>
            <w:r>
              <w:rPr>
                <w:rFonts w:ascii="Calibri" w:hAnsi="Calibri" w:eastAsia="Microsoft YaHei"/>
                <w:b/>
                <w:sz w:val="15"/>
              </w:rPr>
              <w:t>R@20</w:t>
            </w:r>
          </w:p>
        </w:tc>
        <w:tc>
          <w:tcPr>
            <w:tcW w:type="dxa" w:w="1040"/>
            <w:vAlign w:val="center"/>
            <w:shd w:fill="E8EEF5"/>
          </w:tcPr>
          <w:p>
            <w:pPr>
              <w:spacing w:before="0" w:after="0" w:line="252" w:lineRule="auto"/>
              <w:jc w:val="center"/>
            </w:pPr>
            <w:r/>
            <w:r>
              <w:rPr>
                <w:rFonts w:ascii="Calibri" w:hAnsi="Calibri" w:eastAsia="Microsoft YaHei"/>
                <w:b/>
                <w:sz w:val="15"/>
              </w:rPr>
              <w:t>N@20</w:t>
            </w:r>
          </w:p>
        </w:tc>
        <w:tc>
          <w:tcPr>
            <w:tcW w:type="dxa" w:w="1040"/>
            <w:vAlign w:val="center"/>
            <w:shd w:fill="E8EEF5"/>
          </w:tcPr>
          <w:p>
            <w:pPr>
              <w:spacing w:before="0" w:after="0" w:line="252" w:lineRule="auto"/>
              <w:jc w:val="center"/>
            </w:pPr>
            <w:r/>
            <w:r>
              <w:rPr>
                <w:rFonts w:ascii="Calibri" w:hAnsi="Calibri" w:eastAsia="Microsoft YaHei"/>
                <w:b/>
                <w:sz w:val="15"/>
              </w:rPr>
              <w:t>HR@20</w:t>
            </w:r>
          </w:p>
        </w:tc>
        <w:tc>
          <w:tcPr>
            <w:tcW w:type="dxa" w:w="1040"/>
            <w:vAlign w:val="center"/>
            <w:shd w:fill="E8EEF5"/>
          </w:tcPr>
          <w:p>
            <w:pPr>
              <w:spacing w:before="0" w:after="0" w:line="252" w:lineRule="auto"/>
              <w:jc w:val="center"/>
            </w:pPr>
            <w:r/>
            <w:r>
              <w:rPr>
                <w:rFonts w:ascii="Calibri" w:hAnsi="Calibri" w:eastAsia="Microsoft YaHei"/>
                <w:b/>
                <w:sz w:val="15"/>
              </w:rPr>
              <w:t>R@50</w:t>
            </w:r>
          </w:p>
        </w:tc>
        <w:tc>
          <w:tcPr>
            <w:tcW w:type="dxa" w:w="1040"/>
            <w:vAlign w:val="center"/>
            <w:shd w:fill="E8EEF5"/>
          </w:tcPr>
          <w:p>
            <w:pPr>
              <w:spacing w:before="0" w:after="0" w:line="252" w:lineRule="auto"/>
              <w:jc w:val="center"/>
            </w:pPr>
            <w:r/>
            <w:r>
              <w:rPr>
                <w:rFonts w:ascii="Calibri" w:hAnsi="Calibri" w:eastAsia="Microsoft YaHei"/>
                <w:b/>
                <w:sz w:val="15"/>
              </w:rPr>
              <w:t>N@50</w:t>
            </w:r>
          </w:p>
        </w:tc>
        <w:tc>
          <w:tcPr>
            <w:tcW w:type="dxa" w:w="1040"/>
            <w:vAlign w:val="center"/>
            <w:shd w:fill="E8EEF5"/>
          </w:tcPr>
          <w:p>
            <w:pPr>
              <w:spacing w:before="0" w:after="0" w:line="252" w:lineRule="auto"/>
              <w:jc w:val="center"/>
            </w:pPr>
            <w:r/>
            <w:r>
              <w:rPr>
                <w:rFonts w:ascii="Calibri" w:hAnsi="Calibri" w:eastAsia="Microsoft YaHei"/>
                <w:b/>
                <w:sz w:val="15"/>
              </w:rPr>
              <w:t>HR@50</w:t>
            </w:r>
          </w:p>
        </w:tc>
      </w:tr>
      <w:tr>
        <w:tc>
          <w:tcPr>
            <w:tcW w:type="dxa" w:w="1040"/>
            <w:vAlign w:val="center"/>
          </w:tcPr>
          <w:p>
            <w:pPr>
              <w:spacing w:before="0" w:after="0" w:line="252" w:lineRule="auto"/>
              <w:jc w:val="center"/>
            </w:pPr>
            <w:r/>
            <w:r>
              <w:rPr>
                <w:rFonts w:ascii="Calibri" w:hAnsi="Calibri" w:eastAsia="Microsoft YaHei"/>
                <w:b w:val="0"/>
                <w:sz w:val="14"/>
              </w:rPr>
              <w:t>baseline</w:t>
            </w:r>
          </w:p>
        </w:tc>
        <w:tc>
          <w:tcPr>
            <w:tcW w:type="dxa" w:w="1040"/>
            <w:vAlign w:val="center"/>
          </w:tcPr>
          <w:p>
            <w:pPr>
              <w:spacing w:before="0" w:after="0" w:line="252" w:lineRule="auto"/>
              <w:jc w:val="center"/>
            </w:pPr>
            <w:r/>
            <w:r>
              <w:rPr>
                <w:rFonts w:ascii="Calibri" w:hAnsi="Calibri" w:eastAsia="Microsoft YaHei"/>
                <w:b w:val="0"/>
                <w:sz w:val="14"/>
              </w:rPr>
              <w:t>full NeuMFDICE</w:t>
            </w:r>
          </w:p>
        </w:tc>
        <w:tc>
          <w:tcPr>
            <w:tcW w:type="dxa" w:w="1040"/>
            <w:vAlign w:val="center"/>
          </w:tcPr>
          <w:p>
            <w:pPr>
              <w:spacing w:before="0" w:after="0" w:line="252" w:lineRule="auto"/>
              <w:jc w:val="center"/>
            </w:pPr>
            <w:r/>
            <w:r>
              <w:rPr>
                <w:rFonts w:ascii="Calibri" w:hAnsi="Calibri" w:eastAsia="Microsoft YaHei"/>
                <w:b w:val="0"/>
                <w:sz w:val="14"/>
              </w:rPr>
              <w:t>14</w:t>
            </w:r>
          </w:p>
        </w:tc>
        <w:tc>
          <w:tcPr>
            <w:tcW w:type="dxa" w:w="1040"/>
            <w:vAlign w:val="center"/>
          </w:tcPr>
          <w:p>
            <w:pPr>
              <w:spacing w:before="0" w:after="0" w:line="252" w:lineRule="auto"/>
              <w:jc w:val="center"/>
            </w:pPr>
            <w:r/>
            <w:r>
              <w:rPr>
                <w:rFonts w:ascii="Calibri" w:hAnsi="Calibri" w:eastAsia="Microsoft YaHei"/>
                <w:b w:val="0"/>
                <w:sz w:val="14"/>
              </w:rPr>
              <w:t>0.1551</w:t>
            </w:r>
          </w:p>
        </w:tc>
        <w:tc>
          <w:tcPr>
            <w:tcW w:type="dxa" w:w="1040"/>
            <w:vAlign w:val="center"/>
          </w:tcPr>
          <w:p>
            <w:pPr>
              <w:spacing w:before="0" w:after="0" w:line="252" w:lineRule="auto"/>
              <w:jc w:val="center"/>
            </w:pPr>
            <w:r/>
            <w:r>
              <w:rPr>
                <w:rFonts w:ascii="Calibri" w:hAnsi="Calibri" w:eastAsia="Microsoft YaHei"/>
                <w:b w:val="0"/>
                <w:sz w:val="14"/>
              </w:rPr>
              <w:t>0.1038</w:t>
            </w:r>
          </w:p>
        </w:tc>
        <w:tc>
          <w:tcPr>
            <w:tcW w:type="dxa" w:w="1040"/>
            <w:vAlign w:val="center"/>
          </w:tcPr>
          <w:p>
            <w:pPr>
              <w:spacing w:before="0" w:after="0" w:line="252" w:lineRule="auto"/>
              <w:jc w:val="center"/>
            </w:pPr>
            <w:r/>
            <w:r>
              <w:rPr>
                <w:rFonts w:ascii="Calibri" w:hAnsi="Calibri" w:eastAsia="Microsoft YaHei"/>
                <w:b w:val="0"/>
                <w:sz w:val="14"/>
              </w:rPr>
              <w:t>0.5341</w:t>
            </w:r>
          </w:p>
        </w:tc>
        <w:tc>
          <w:tcPr>
            <w:tcW w:type="dxa" w:w="1040"/>
            <w:vAlign w:val="center"/>
          </w:tcPr>
          <w:p>
            <w:pPr>
              <w:spacing w:before="0" w:after="0" w:line="252" w:lineRule="auto"/>
              <w:jc w:val="center"/>
            </w:pPr>
            <w:r/>
            <w:r>
              <w:rPr>
                <w:rFonts w:ascii="Calibri" w:hAnsi="Calibri" w:eastAsia="Microsoft YaHei"/>
                <w:b w:val="0"/>
                <w:sz w:val="14"/>
              </w:rPr>
              <w:t>0.2812</w:t>
            </w:r>
          </w:p>
        </w:tc>
        <w:tc>
          <w:tcPr>
            <w:tcW w:type="dxa" w:w="1040"/>
            <w:vAlign w:val="center"/>
          </w:tcPr>
          <w:p>
            <w:pPr>
              <w:spacing w:before="0" w:after="0" w:line="252" w:lineRule="auto"/>
              <w:jc w:val="center"/>
            </w:pPr>
            <w:r/>
            <w:r>
              <w:rPr>
                <w:rFonts w:ascii="Calibri" w:hAnsi="Calibri" w:eastAsia="Microsoft YaHei"/>
                <w:b w:val="0"/>
                <w:sz w:val="14"/>
              </w:rPr>
              <w:t>0.1447</w:t>
            </w:r>
          </w:p>
        </w:tc>
        <w:tc>
          <w:tcPr>
            <w:tcW w:type="dxa" w:w="1040"/>
            <w:vAlign w:val="center"/>
          </w:tcPr>
          <w:p>
            <w:pPr>
              <w:spacing w:before="0" w:after="0" w:line="252" w:lineRule="auto"/>
              <w:jc w:val="center"/>
            </w:pPr>
            <w:r/>
            <w:r>
              <w:rPr>
                <w:rFonts w:ascii="Calibri" w:hAnsi="Calibri" w:eastAsia="Microsoft YaHei"/>
                <w:b w:val="0"/>
                <w:sz w:val="14"/>
              </w:rPr>
              <w:t>0.7394</w:t>
            </w:r>
          </w:p>
        </w:tc>
      </w:tr>
      <w:tr>
        <w:tc>
          <w:tcPr>
            <w:tcW w:type="dxa" w:w="1040"/>
            <w:vAlign w:val="center"/>
          </w:tcPr>
          <w:p>
            <w:pPr>
              <w:spacing w:before="0" w:after="0" w:line="252" w:lineRule="auto"/>
              <w:jc w:val="center"/>
            </w:pPr>
            <w:r/>
            <w:r>
              <w:rPr>
                <w:rFonts w:ascii="Calibri" w:hAnsi="Calibri" w:eastAsia="Microsoft YaHei"/>
                <w:b w:val="0"/>
                <w:sz w:val="14"/>
              </w:rPr>
              <w:t>no-dis</w:t>
            </w:r>
          </w:p>
        </w:tc>
        <w:tc>
          <w:tcPr>
            <w:tcW w:type="dxa" w:w="1040"/>
            <w:vAlign w:val="center"/>
          </w:tcPr>
          <w:p>
            <w:pPr>
              <w:spacing w:before="0" w:after="0" w:line="252" w:lineRule="auto"/>
              <w:jc w:val="left"/>
            </w:pPr>
            <w:r/>
            <w:r>
              <w:rPr>
                <w:rFonts w:ascii="Calibri" w:hAnsi="Calibri" w:eastAsia="Microsoft YaHei"/>
                <w:b w:val="0"/>
                <w:sz w:val="14"/>
              </w:rPr>
              <w:t>remove discrepancy penalty</w:t>
            </w:r>
          </w:p>
        </w:tc>
        <w:tc>
          <w:tcPr>
            <w:tcW w:type="dxa" w:w="1040"/>
            <w:vAlign w:val="center"/>
          </w:tcPr>
          <w:p>
            <w:pPr>
              <w:spacing w:before="0" w:after="0" w:line="252" w:lineRule="auto"/>
              <w:jc w:val="center"/>
            </w:pPr>
            <w:r/>
            <w:r>
              <w:rPr>
                <w:rFonts w:ascii="Calibri" w:hAnsi="Calibri" w:eastAsia="Microsoft YaHei"/>
                <w:b w:val="0"/>
                <w:sz w:val="14"/>
              </w:rPr>
              <w:t>5</w:t>
            </w:r>
          </w:p>
        </w:tc>
        <w:tc>
          <w:tcPr>
            <w:tcW w:type="dxa" w:w="1040"/>
            <w:vAlign w:val="center"/>
          </w:tcPr>
          <w:p>
            <w:pPr>
              <w:spacing w:before="0" w:after="0" w:line="252" w:lineRule="auto"/>
              <w:jc w:val="center"/>
            </w:pPr>
            <w:r/>
            <w:r>
              <w:rPr>
                <w:rFonts w:ascii="Calibri" w:hAnsi="Calibri" w:eastAsia="Microsoft YaHei"/>
                <w:b w:val="0"/>
                <w:sz w:val="14"/>
              </w:rPr>
              <w:t>0.1583</w:t>
            </w:r>
          </w:p>
        </w:tc>
        <w:tc>
          <w:tcPr>
            <w:tcW w:type="dxa" w:w="1040"/>
            <w:vAlign w:val="center"/>
          </w:tcPr>
          <w:p>
            <w:pPr>
              <w:spacing w:before="0" w:after="0" w:line="252" w:lineRule="auto"/>
              <w:jc w:val="center"/>
            </w:pPr>
            <w:r/>
            <w:r>
              <w:rPr>
                <w:rFonts w:ascii="Calibri" w:hAnsi="Calibri" w:eastAsia="Microsoft YaHei"/>
                <w:b w:val="0"/>
                <w:sz w:val="14"/>
              </w:rPr>
              <w:t>0.1066</w:t>
            </w:r>
          </w:p>
        </w:tc>
        <w:tc>
          <w:tcPr>
            <w:tcW w:type="dxa" w:w="1040"/>
            <w:vAlign w:val="center"/>
          </w:tcPr>
          <w:p>
            <w:pPr>
              <w:spacing w:before="0" w:after="0" w:line="252" w:lineRule="auto"/>
              <w:jc w:val="center"/>
            </w:pPr>
            <w:r/>
            <w:r>
              <w:rPr>
                <w:rFonts w:ascii="Calibri" w:hAnsi="Calibri" w:eastAsia="Microsoft YaHei"/>
                <w:b w:val="0"/>
                <w:sz w:val="14"/>
              </w:rPr>
              <w:t>0.5413</w:t>
            </w:r>
          </w:p>
        </w:tc>
        <w:tc>
          <w:tcPr>
            <w:tcW w:type="dxa" w:w="1040"/>
            <w:vAlign w:val="center"/>
          </w:tcPr>
          <w:p>
            <w:pPr>
              <w:spacing w:before="0" w:after="0" w:line="252" w:lineRule="auto"/>
              <w:jc w:val="center"/>
            </w:pPr>
            <w:r/>
            <w:r>
              <w:rPr>
                <w:rFonts w:ascii="Calibri" w:hAnsi="Calibri" w:eastAsia="Microsoft YaHei"/>
                <w:b w:val="0"/>
                <w:sz w:val="14"/>
              </w:rPr>
              <w:t>0.2860</w:t>
            </w:r>
          </w:p>
        </w:tc>
        <w:tc>
          <w:tcPr>
            <w:tcW w:type="dxa" w:w="1040"/>
            <w:vAlign w:val="center"/>
          </w:tcPr>
          <w:p>
            <w:pPr>
              <w:spacing w:before="0" w:after="0" w:line="252" w:lineRule="auto"/>
              <w:jc w:val="center"/>
            </w:pPr>
            <w:r/>
            <w:r>
              <w:rPr>
                <w:rFonts w:ascii="Calibri" w:hAnsi="Calibri" w:eastAsia="Microsoft YaHei"/>
                <w:b w:val="0"/>
                <w:sz w:val="14"/>
              </w:rPr>
              <w:t>0.1484</w:t>
            </w:r>
          </w:p>
        </w:tc>
        <w:tc>
          <w:tcPr>
            <w:tcW w:type="dxa" w:w="1040"/>
            <w:vAlign w:val="center"/>
          </w:tcPr>
          <w:p>
            <w:pPr>
              <w:spacing w:before="0" w:after="0" w:line="252" w:lineRule="auto"/>
              <w:jc w:val="center"/>
            </w:pPr>
            <w:r/>
            <w:r>
              <w:rPr>
                <w:rFonts w:ascii="Calibri" w:hAnsi="Calibri" w:eastAsia="Microsoft YaHei"/>
                <w:b w:val="0"/>
                <w:sz w:val="14"/>
              </w:rPr>
              <w:t>0.7393</w:t>
            </w:r>
          </w:p>
        </w:tc>
      </w:tr>
      <w:tr>
        <w:tc>
          <w:tcPr>
            <w:tcW w:type="dxa" w:w="1040"/>
            <w:vAlign w:val="center"/>
          </w:tcPr>
          <w:p>
            <w:pPr>
              <w:spacing w:before="0" w:after="0" w:line="252" w:lineRule="auto"/>
              <w:jc w:val="center"/>
            </w:pPr>
            <w:r/>
            <w:r>
              <w:rPr>
                <w:rFonts w:ascii="Calibri" w:hAnsi="Calibri" w:eastAsia="Microsoft YaHei"/>
                <w:b w:val="0"/>
                <w:sz w:val="14"/>
              </w:rPr>
              <w:t>no-adaptive</w:t>
            </w:r>
          </w:p>
        </w:tc>
        <w:tc>
          <w:tcPr>
            <w:tcW w:type="dxa" w:w="1040"/>
            <w:vAlign w:val="center"/>
          </w:tcPr>
          <w:p>
            <w:pPr>
              <w:spacing w:before="0" w:after="0" w:line="252" w:lineRule="auto"/>
              <w:jc w:val="left"/>
            </w:pPr>
            <w:r/>
            <w:r>
              <w:rPr>
                <w:rFonts w:ascii="Calibri" w:hAnsi="Calibri" w:eastAsia="Microsoft YaHei"/>
                <w:b w:val="0"/>
                <w:sz w:val="14"/>
              </w:rPr>
              <w:t>disable adaptive training</w:t>
            </w:r>
          </w:p>
        </w:tc>
        <w:tc>
          <w:tcPr>
            <w:tcW w:type="dxa" w:w="1040"/>
            <w:vAlign w:val="center"/>
          </w:tcPr>
          <w:p>
            <w:pPr>
              <w:spacing w:before="0" w:after="0" w:line="252" w:lineRule="auto"/>
              <w:jc w:val="center"/>
            </w:pPr>
            <w:r/>
            <w:r>
              <w:rPr>
                <w:rFonts w:ascii="Calibri" w:hAnsi="Calibri" w:eastAsia="Microsoft YaHei"/>
                <w:b w:val="0"/>
                <w:sz w:val="14"/>
              </w:rPr>
              <w:t>10</w:t>
            </w:r>
          </w:p>
        </w:tc>
        <w:tc>
          <w:tcPr>
            <w:tcW w:type="dxa" w:w="1040"/>
            <w:vAlign w:val="center"/>
          </w:tcPr>
          <w:p>
            <w:pPr>
              <w:spacing w:before="0" w:after="0" w:line="252" w:lineRule="auto"/>
              <w:jc w:val="center"/>
            </w:pPr>
            <w:r/>
            <w:r>
              <w:rPr>
                <w:rFonts w:ascii="Calibri" w:hAnsi="Calibri" w:eastAsia="Microsoft YaHei"/>
                <w:b w:val="0"/>
                <w:sz w:val="14"/>
              </w:rPr>
              <w:t>0.1465</w:t>
            </w:r>
          </w:p>
        </w:tc>
        <w:tc>
          <w:tcPr>
            <w:tcW w:type="dxa" w:w="1040"/>
            <w:vAlign w:val="center"/>
          </w:tcPr>
          <w:p>
            <w:pPr>
              <w:spacing w:before="0" w:after="0" w:line="252" w:lineRule="auto"/>
              <w:jc w:val="center"/>
            </w:pPr>
            <w:r/>
            <w:r>
              <w:rPr>
                <w:rFonts w:ascii="Calibri" w:hAnsi="Calibri" w:eastAsia="Microsoft YaHei"/>
                <w:b w:val="0"/>
                <w:sz w:val="14"/>
              </w:rPr>
              <w:t>0.0979</w:t>
            </w:r>
          </w:p>
        </w:tc>
        <w:tc>
          <w:tcPr>
            <w:tcW w:type="dxa" w:w="1040"/>
            <w:vAlign w:val="center"/>
          </w:tcPr>
          <w:p>
            <w:pPr>
              <w:spacing w:before="0" w:after="0" w:line="252" w:lineRule="auto"/>
              <w:jc w:val="center"/>
            </w:pPr>
            <w:r/>
            <w:r>
              <w:rPr>
                <w:rFonts w:ascii="Calibri" w:hAnsi="Calibri" w:eastAsia="Microsoft YaHei"/>
                <w:b w:val="0"/>
                <w:sz w:val="14"/>
              </w:rPr>
              <w:t>0.5194</w:t>
            </w:r>
          </w:p>
        </w:tc>
        <w:tc>
          <w:tcPr>
            <w:tcW w:type="dxa" w:w="1040"/>
            <w:vAlign w:val="center"/>
          </w:tcPr>
          <w:p>
            <w:pPr>
              <w:spacing w:before="0" w:after="0" w:line="252" w:lineRule="auto"/>
              <w:jc w:val="center"/>
            </w:pPr>
            <w:r/>
            <w:r>
              <w:rPr>
                <w:rFonts w:ascii="Calibri" w:hAnsi="Calibri" w:eastAsia="Microsoft YaHei"/>
                <w:b w:val="0"/>
                <w:sz w:val="14"/>
              </w:rPr>
              <w:t>0.2695</w:t>
            </w:r>
          </w:p>
        </w:tc>
        <w:tc>
          <w:tcPr>
            <w:tcW w:type="dxa" w:w="1040"/>
            <w:vAlign w:val="center"/>
          </w:tcPr>
          <w:p>
            <w:pPr>
              <w:spacing w:before="0" w:after="0" w:line="252" w:lineRule="auto"/>
              <w:jc w:val="center"/>
            </w:pPr>
            <w:r/>
            <w:r>
              <w:rPr>
                <w:rFonts w:ascii="Calibri" w:hAnsi="Calibri" w:eastAsia="Microsoft YaHei"/>
                <w:b w:val="0"/>
                <w:sz w:val="14"/>
              </w:rPr>
              <w:t>0.1383</w:t>
            </w:r>
          </w:p>
        </w:tc>
        <w:tc>
          <w:tcPr>
            <w:tcW w:type="dxa" w:w="1040"/>
            <w:vAlign w:val="center"/>
          </w:tcPr>
          <w:p>
            <w:pPr>
              <w:spacing w:before="0" w:after="0" w:line="252" w:lineRule="auto"/>
              <w:jc w:val="center"/>
            </w:pPr>
            <w:r/>
            <w:r>
              <w:rPr>
                <w:rFonts w:ascii="Calibri" w:hAnsi="Calibri" w:eastAsia="Microsoft YaHei"/>
                <w:b w:val="0"/>
                <w:sz w:val="14"/>
              </w:rPr>
              <w:t>0.7216</w:t>
            </w:r>
          </w:p>
        </w:tc>
      </w:tr>
      <w:tr>
        <w:tc>
          <w:tcPr>
            <w:tcW w:type="dxa" w:w="1040"/>
            <w:vAlign w:val="center"/>
          </w:tcPr>
          <w:p>
            <w:pPr>
              <w:spacing w:before="0" w:after="0" w:line="252" w:lineRule="auto"/>
              <w:jc w:val="center"/>
            </w:pPr>
            <w:r/>
            <w:r>
              <w:rPr>
                <w:rFonts w:ascii="Calibri" w:hAnsi="Calibri" w:eastAsia="Microsoft YaHei"/>
                <w:b w:val="0"/>
                <w:sz w:val="14"/>
              </w:rPr>
              <w:t>low-dis</w:t>
            </w:r>
          </w:p>
        </w:tc>
        <w:tc>
          <w:tcPr>
            <w:tcW w:type="dxa" w:w="1040"/>
            <w:vAlign w:val="center"/>
          </w:tcPr>
          <w:p>
            <w:pPr>
              <w:spacing w:before="0" w:after="0" w:line="252" w:lineRule="auto"/>
              <w:jc w:val="left"/>
            </w:pPr>
            <w:r/>
            <w:r>
              <w:rPr>
                <w:rFonts w:ascii="Calibri" w:hAnsi="Calibri" w:eastAsia="Microsoft YaHei"/>
                <w:b w:val="0"/>
                <w:sz w:val="14"/>
              </w:rPr>
              <w:t>weaker discrepancy penalty</w:t>
            </w:r>
          </w:p>
        </w:tc>
        <w:tc>
          <w:tcPr>
            <w:tcW w:type="dxa" w:w="1040"/>
            <w:vAlign w:val="center"/>
          </w:tcPr>
          <w:p>
            <w:pPr>
              <w:spacing w:before="0" w:after="0" w:line="252" w:lineRule="auto"/>
              <w:jc w:val="center"/>
            </w:pPr>
            <w:r/>
            <w:r>
              <w:rPr>
                <w:rFonts w:ascii="Calibri" w:hAnsi="Calibri" w:eastAsia="Microsoft YaHei"/>
                <w:b w:val="0"/>
                <w:sz w:val="14"/>
              </w:rPr>
              <w:t>5</w:t>
            </w:r>
          </w:p>
        </w:tc>
        <w:tc>
          <w:tcPr>
            <w:tcW w:type="dxa" w:w="1040"/>
            <w:vAlign w:val="center"/>
          </w:tcPr>
          <w:p>
            <w:pPr>
              <w:spacing w:before="0" w:after="0" w:line="252" w:lineRule="auto"/>
              <w:jc w:val="center"/>
            </w:pPr>
            <w:r/>
            <w:r>
              <w:rPr>
                <w:rFonts w:ascii="Calibri" w:hAnsi="Calibri" w:eastAsia="Microsoft YaHei"/>
                <w:b w:val="0"/>
                <w:sz w:val="14"/>
              </w:rPr>
              <w:t>0.1569</w:t>
            </w:r>
          </w:p>
        </w:tc>
        <w:tc>
          <w:tcPr>
            <w:tcW w:type="dxa" w:w="1040"/>
            <w:vAlign w:val="center"/>
          </w:tcPr>
          <w:p>
            <w:pPr>
              <w:spacing w:before="0" w:after="0" w:line="252" w:lineRule="auto"/>
              <w:jc w:val="center"/>
            </w:pPr>
            <w:r/>
            <w:r>
              <w:rPr>
                <w:rFonts w:ascii="Calibri" w:hAnsi="Calibri" w:eastAsia="Microsoft YaHei"/>
                <w:b w:val="0"/>
                <w:sz w:val="14"/>
              </w:rPr>
              <w:t>0.1054</w:t>
            </w:r>
          </w:p>
        </w:tc>
        <w:tc>
          <w:tcPr>
            <w:tcW w:type="dxa" w:w="1040"/>
            <w:vAlign w:val="center"/>
          </w:tcPr>
          <w:p>
            <w:pPr>
              <w:spacing w:before="0" w:after="0" w:line="252" w:lineRule="auto"/>
              <w:jc w:val="center"/>
            </w:pPr>
            <w:r/>
            <w:r>
              <w:rPr>
                <w:rFonts w:ascii="Calibri" w:hAnsi="Calibri" w:eastAsia="Microsoft YaHei"/>
                <w:b w:val="0"/>
                <w:sz w:val="14"/>
              </w:rPr>
              <w:t>0.5448</w:t>
            </w:r>
          </w:p>
        </w:tc>
        <w:tc>
          <w:tcPr>
            <w:tcW w:type="dxa" w:w="1040"/>
            <w:vAlign w:val="center"/>
          </w:tcPr>
          <w:p>
            <w:pPr>
              <w:spacing w:before="0" w:after="0" w:line="252" w:lineRule="auto"/>
              <w:jc w:val="center"/>
            </w:pPr>
            <w:r/>
            <w:r>
              <w:rPr>
                <w:rFonts w:ascii="Calibri" w:hAnsi="Calibri" w:eastAsia="Microsoft YaHei"/>
                <w:b w:val="0"/>
                <w:sz w:val="14"/>
              </w:rPr>
              <w:t>0.2871</w:t>
            </w:r>
          </w:p>
        </w:tc>
        <w:tc>
          <w:tcPr>
            <w:tcW w:type="dxa" w:w="1040"/>
            <w:vAlign w:val="center"/>
          </w:tcPr>
          <w:p>
            <w:pPr>
              <w:spacing w:before="0" w:after="0" w:line="252" w:lineRule="auto"/>
              <w:jc w:val="center"/>
            </w:pPr>
            <w:r/>
            <w:r>
              <w:rPr>
                <w:rFonts w:ascii="Calibri" w:hAnsi="Calibri" w:eastAsia="Microsoft YaHei"/>
                <w:b w:val="0"/>
                <w:sz w:val="14"/>
              </w:rPr>
              <w:t>0.1479</w:t>
            </w:r>
          </w:p>
        </w:tc>
        <w:tc>
          <w:tcPr>
            <w:tcW w:type="dxa" w:w="1040"/>
            <w:vAlign w:val="center"/>
          </w:tcPr>
          <w:p>
            <w:pPr>
              <w:spacing w:before="0" w:after="0" w:line="252" w:lineRule="auto"/>
              <w:jc w:val="center"/>
            </w:pPr>
            <w:r/>
            <w:r>
              <w:rPr>
                <w:rFonts w:ascii="Calibri" w:hAnsi="Calibri" w:eastAsia="Microsoft YaHei"/>
                <w:b w:val="0"/>
                <w:sz w:val="14"/>
              </w:rPr>
              <w:t>0.7427</w:t>
            </w:r>
          </w:p>
        </w:tc>
      </w:tr>
      <w:tr>
        <w:tc>
          <w:tcPr>
            <w:tcW w:type="dxa" w:w="1040"/>
            <w:vAlign w:val="center"/>
          </w:tcPr>
          <w:p>
            <w:pPr>
              <w:spacing w:before="0" w:after="0" w:line="252" w:lineRule="auto"/>
              <w:jc w:val="center"/>
            </w:pPr>
            <w:r/>
            <w:r>
              <w:rPr>
                <w:rFonts w:ascii="Calibri" w:hAnsi="Calibri" w:eastAsia="Microsoft YaHei"/>
                <w:b w:val="0"/>
                <w:sz w:val="14"/>
              </w:rPr>
              <w:t>high-dis</w:t>
            </w:r>
          </w:p>
        </w:tc>
        <w:tc>
          <w:tcPr>
            <w:tcW w:type="dxa" w:w="1040"/>
            <w:vAlign w:val="center"/>
          </w:tcPr>
          <w:p>
            <w:pPr>
              <w:spacing w:before="0" w:after="0" w:line="252" w:lineRule="auto"/>
              <w:jc w:val="left"/>
            </w:pPr>
            <w:r/>
            <w:r>
              <w:rPr>
                <w:rFonts w:ascii="Calibri" w:hAnsi="Calibri" w:eastAsia="Microsoft YaHei"/>
                <w:b w:val="0"/>
                <w:sz w:val="14"/>
              </w:rPr>
              <w:t>stronger discrepancy penalty</w:t>
            </w:r>
          </w:p>
        </w:tc>
        <w:tc>
          <w:tcPr>
            <w:tcW w:type="dxa" w:w="1040"/>
            <w:vAlign w:val="center"/>
          </w:tcPr>
          <w:p>
            <w:pPr>
              <w:spacing w:before="0" w:after="0" w:line="252" w:lineRule="auto"/>
              <w:jc w:val="center"/>
            </w:pPr>
            <w:r/>
            <w:r>
              <w:rPr>
                <w:rFonts w:ascii="Calibri" w:hAnsi="Calibri" w:eastAsia="Microsoft YaHei"/>
                <w:b w:val="0"/>
                <w:sz w:val="14"/>
              </w:rPr>
              <w:t>6</w:t>
            </w:r>
          </w:p>
        </w:tc>
        <w:tc>
          <w:tcPr>
            <w:tcW w:type="dxa" w:w="1040"/>
            <w:vAlign w:val="center"/>
          </w:tcPr>
          <w:p>
            <w:pPr>
              <w:spacing w:before="0" w:after="0" w:line="252" w:lineRule="auto"/>
              <w:jc w:val="center"/>
            </w:pPr>
            <w:r/>
            <w:r>
              <w:rPr>
                <w:rFonts w:ascii="Calibri" w:hAnsi="Calibri" w:eastAsia="Microsoft YaHei"/>
                <w:b w:val="0"/>
                <w:sz w:val="14"/>
              </w:rPr>
              <w:t>0.1427</w:t>
            </w:r>
          </w:p>
        </w:tc>
        <w:tc>
          <w:tcPr>
            <w:tcW w:type="dxa" w:w="1040"/>
            <w:vAlign w:val="center"/>
          </w:tcPr>
          <w:p>
            <w:pPr>
              <w:spacing w:before="0" w:after="0" w:line="252" w:lineRule="auto"/>
              <w:jc w:val="center"/>
            </w:pPr>
            <w:r/>
            <w:r>
              <w:rPr>
                <w:rFonts w:ascii="Calibri" w:hAnsi="Calibri" w:eastAsia="Microsoft YaHei"/>
                <w:b w:val="0"/>
                <w:sz w:val="14"/>
              </w:rPr>
              <w:t>0.0935</w:t>
            </w:r>
          </w:p>
        </w:tc>
        <w:tc>
          <w:tcPr>
            <w:tcW w:type="dxa" w:w="1040"/>
            <w:vAlign w:val="center"/>
          </w:tcPr>
          <w:p>
            <w:pPr>
              <w:spacing w:before="0" w:after="0" w:line="252" w:lineRule="auto"/>
              <w:jc w:val="center"/>
            </w:pPr>
            <w:r/>
            <w:r>
              <w:rPr>
                <w:rFonts w:ascii="Calibri" w:hAnsi="Calibri" w:eastAsia="Microsoft YaHei"/>
                <w:b w:val="0"/>
                <w:sz w:val="14"/>
              </w:rPr>
              <w:t>0.5034</w:t>
            </w:r>
          </w:p>
        </w:tc>
        <w:tc>
          <w:tcPr>
            <w:tcW w:type="dxa" w:w="1040"/>
            <w:vAlign w:val="center"/>
          </w:tcPr>
          <w:p>
            <w:pPr>
              <w:spacing w:before="0" w:after="0" w:line="252" w:lineRule="auto"/>
              <w:jc w:val="center"/>
            </w:pPr>
            <w:r/>
            <w:r>
              <w:rPr>
                <w:rFonts w:ascii="Calibri" w:hAnsi="Calibri" w:eastAsia="Microsoft YaHei"/>
                <w:b w:val="0"/>
                <w:sz w:val="14"/>
              </w:rPr>
              <w:t>0.2650</w:t>
            </w:r>
          </w:p>
        </w:tc>
        <w:tc>
          <w:tcPr>
            <w:tcW w:type="dxa" w:w="1040"/>
            <w:vAlign w:val="center"/>
          </w:tcPr>
          <w:p>
            <w:pPr>
              <w:spacing w:before="0" w:after="0" w:line="252" w:lineRule="auto"/>
              <w:jc w:val="center"/>
            </w:pPr>
            <w:r/>
            <w:r>
              <w:rPr>
                <w:rFonts w:ascii="Calibri" w:hAnsi="Calibri" w:eastAsia="Microsoft YaHei"/>
                <w:b w:val="0"/>
                <w:sz w:val="14"/>
              </w:rPr>
              <w:t>0.1342</w:t>
            </w:r>
          </w:p>
        </w:tc>
        <w:tc>
          <w:tcPr>
            <w:tcW w:type="dxa" w:w="1040"/>
            <w:vAlign w:val="center"/>
          </w:tcPr>
          <w:p>
            <w:pPr>
              <w:spacing w:before="0" w:after="0" w:line="252" w:lineRule="auto"/>
              <w:jc w:val="center"/>
            </w:pPr>
            <w:r/>
            <w:r>
              <w:rPr>
                <w:rFonts w:ascii="Calibri" w:hAnsi="Calibri" w:eastAsia="Microsoft YaHei"/>
                <w:b w:val="0"/>
                <w:sz w:val="14"/>
              </w:rPr>
              <w:t>0.7131</w:t>
            </w:r>
          </w:p>
        </w:tc>
      </w:tr>
    </w:tbl>
    <w:p>
      <w:pPr>
        <w:spacing w:before="0" w:after="40" w:line="264" w:lineRule="auto"/>
      </w:pPr>
      <w:r>
        <w:rPr>
          <w:rFonts w:ascii="Calibri" w:hAnsi="Calibri" w:eastAsia="Microsoft YaHei"/>
          <w:b w:val="0"/>
          <w:i w:val="0"/>
          <w:sz w:val="22"/>
        </w:rPr>
      </w:r>
    </w:p>
    <w:p>
      <w:pPr>
        <w:jc w:val="center"/>
      </w:pPr>
      <w:r>
        <w:drawing>
          <wp:inline xmlns:a="http://schemas.openxmlformats.org/drawingml/2006/main" xmlns:pic="http://schemas.openxmlformats.org/drawingml/2006/picture">
            <wp:extent cx="5577840" cy="3063884"/>
            <wp:docPr id="4" name="Picture 4"/>
            <wp:cNvGraphicFramePr>
              <a:graphicFrameLocks noChangeAspect="1"/>
            </wp:cNvGraphicFramePr>
            <a:graphic>
              <a:graphicData uri="http://schemas.openxmlformats.org/drawingml/2006/picture">
                <pic:pic>
                  <pic:nvPicPr>
                    <pic:cNvPr id="0" name="fig3_ablation_recall20.png"/>
                    <pic:cNvPicPr/>
                  </pic:nvPicPr>
                  <pic:blipFill>
                    <a:blip r:embed="rId14"/>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NeuMF-DICE 消融实验准确率指标对比</w:t>
      </w:r>
    </w:p>
    <w:p>
      <w:pPr>
        <w:pStyle w:val="Heading2"/>
        <w:keepNext/>
      </w:pPr>
      <w:r>
        <w:rPr>
          <w:rFonts w:ascii="Calibri" w:hAnsi="Calibri" w:eastAsia="Microsoft YaHei"/>
          <w:b/>
          <w:color w:val="2E74B5"/>
          <w:sz w:val="26"/>
        </w:rPr>
        <w:t>7.2 去偏指标</w:t>
      </w:r>
    </w:p>
    <w:p>
      <w:pPr>
        <w:spacing w:after="120" w:line="264" w:lineRule="auto"/>
      </w:pPr>
      <w:r>
        <w:rPr>
          <w:rFonts w:ascii="Calibri" w:hAnsi="Calibri" w:eastAsia="Microsoft YaHei"/>
          <w:b w:val="0"/>
          <w:sz w:val="22"/>
        </w:rPr>
        <w:t>仅看 Recall 和 NDCG 容易误判去偏方法。为了观察模型是否过度依赖热门物品，本项目进一步计算 AvgPop、LongTailRatio 和 Coverage。AvgPop 越低，说明推荐列表越少依赖热门物品；Coverage 越高，说明推荐覆盖的物品范围越广。</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shd w:fill="E8EEF5"/>
          </w:tcPr>
          <w:p>
            <w:pPr>
              <w:spacing w:before="0" w:after="0" w:line="252" w:lineRule="auto"/>
              <w:jc w:val="center"/>
            </w:pPr>
            <w:r/>
            <w:r>
              <w:rPr>
                <w:rFonts w:ascii="Calibri" w:hAnsi="Calibri" w:eastAsia="Microsoft YaHei"/>
                <w:b/>
                <w:sz w:val="17"/>
              </w:rPr>
              <w:t>Variant</w:t>
            </w:r>
          </w:p>
        </w:tc>
        <w:tc>
          <w:tcPr>
            <w:tcW w:type="dxa" w:w="1560"/>
            <w:vAlign w:val="center"/>
            <w:shd w:fill="E8EEF5"/>
          </w:tcPr>
          <w:p>
            <w:pPr>
              <w:spacing w:before="0" w:after="0" w:line="252" w:lineRule="auto"/>
              <w:jc w:val="center"/>
            </w:pPr>
            <w:r/>
            <w:r>
              <w:rPr>
                <w:rFonts w:ascii="Calibri" w:hAnsi="Calibri" w:eastAsia="Microsoft YaHei"/>
                <w:b/>
                <w:sz w:val="17"/>
              </w:rPr>
              <w:t>TopK</w:t>
            </w:r>
          </w:p>
        </w:tc>
        <w:tc>
          <w:tcPr>
            <w:tcW w:type="dxa" w:w="1560"/>
            <w:vAlign w:val="center"/>
            <w:shd w:fill="E8EEF5"/>
          </w:tcPr>
          <w:p>
            <w:pPr>
              <w:spacing w:before="0" w:after="0" w:line="252" w:lineRule="auto"/>
              <w:jc w:val="center"/>
            </w:pPr>
            <w:r/>
            <w:r>
              <w:rPr>
                <w:rFonts w:ascii="Calibri" w:hAnsi="Calibri" w:eastAsia="Microsoft YaHei"/>
                <w:b/>
                <w:sz w:val="17"/>
              </w:rPr>
              <w:t>AvgPop</w:t>
            </w:r>
          </w:p>
        </w:tc>
        <w:tc>
          <w:tcPr>
            <w:tcW w:type="dxa" w:w="1560"/>
            <w:vAlign w:val="center"/>
            <w:shd w:fill="E8EEF5"/>
          </w:tcPr>
          <w:p>
            <w:pPr>
              <w:spacing w:before="0" w:after="0" w:line="252" w:lineRule="auto"/>
              <w:jc w:val="center"/>
            </w:pPr>
            <w:r/>
            <w:r>
              <w:rPr>
                <w:rFonts w:ascii="Calibri" w:hAnsi="Calibri" w:eastAsia="Microsoft YaHei"/>
                <w:b/>
                <w:sz w:val="17"/>
              </w:rPr>
              <w:t>LongTailRatio</w:t>
            </w:r>
          </w:p>
        </w:tc>
        <w:tc>
          <w:tcPr>
            <w:tcW w:type="dxa" w:w="1560"/>
            <w:vAlign w:val="center"/>
            <w:shd w:fill="E8EEF5"/>
          </w:tcPr>
          <w:p>
            <w:pPr>
              <w:spacing w:before="0" w:after="0" w:line="252" w:lineRule="auto"/>
              <w:jc w:val="center"/>
            </w:pPr>
            <w:r/>
            <w:r>
              <w:rPr>
                <w:rFonts w:ascii="Calibri" w:hAnsi="Calibri" w:eastAsia="Microsoft YaHei"/>
                <w:b/>
                <w:sz w:val="17"/>
              </w:rPr>
              <w:t>Coverage</w:t>
            </w:r>
          </w:p>
        </w:tc>
        <w:tc>
          <w:tcPr>
            <w:tcW w:type="dxa" w:w="1560"/>
            <w:vAlign w:val="center"/>
            <w:shd w:fill="E8EEF5"/>
          </w:tcPr>
          <w:p>
            <w:pPr>
              <w:spacing w:before="0" w:after="0" w:line="252" w:lineRule="auto"/>
              <w:jc w:val="center"/>
            </w:pPr>
            <w:r/>
            <w:r>
              <w:rPr>
                <w:rFonts w:ascii="Calibri" w:hAnsi="Calibri" w:eastAsia="Microsoft YaHei"/>
                <w:b/>
                <w:sz w:val="17"/>
              </w:rPr>
              <w:t>Users</w:t>
            </w:r>
          </w:p>
        </w:tc>
      </w:tr>
      <w:tr>
        <w:tc>
          <w:tcPr>
            <w:tcW w:type="dxa" w:w="1560"/>
            <w:vAlign w:val="center"/>
          </w:tcPr>
          <w:p>
            <w:pPr>
              <w:spacing w:before="0" w:after="0" w:line="252" w:lineRule="auto"/>
              <w:jc w:val="center"/>
            </w:pPr>
            <w:r/>
            <w:r>
              <w:rPr>
                <w:rFonts w:ascii="Calibri" w:hAnsi="Calibri" w:eastAsia="Microsoft YaHei"/>
                <w:b w:val="0"/>
                <w:sz w:val="16"/>
              </w:rPr>
              <w:t>no-dis</w:t>
            </w:r>
          </w:p>
        </w:tc>
        <w:tc>
          <w:tcPr>
            <w:tcW w:type="dxa" w:w="1560"/>
            <w:vAlign w:val="center"/>
          </w:tcPr>
          <w:p>
            <w:pPr>
              <w:spacing w:before="0" w:after="0" w:line="252" w:lineRule="auto"/>
              <w:jc w:val="center"/>
            </w:pPr>
            <w:r/>
            <w:r>
              <w:rPr>
                <w:rFonts w:ascii="Calibri" w:hAnsi="Calibri" w:eastAsia="Microsoft YaHei"/>
                <w:b w:val="0"/>
                <w:sz w:val="16"/>
              </w:rPr>
              <w:t>20</w:t>
            </w:r>
          </w:p>
        </w:tc>
        <w:tc>
          <w:tcPr>
            <w:tcW w:type="dxa" w:w="1560"/>
            <w:vAlign w:val="center"/>
          </w:tcPr>
          <w:p>
            <w:pPr>
              <w:spacing w:before="0" w:after="0" w:line="252" w:lineRule="auto"/>
              <w:jc w:val="center"/>
            </w:pPr>
            <w:r/>
            <w:r>
              <w:rPr>
                <w:rFonts w:ascii="Calibri" w:hAnsi="Calibri" w:eastAsia="Microsoft YaHei"/>
                <w:b w:val="0"/>
                <w:sz w:val="16"/>
              </w:rPr>
              <w:t>1103.3716</w:t>
            </w:r>
          </w:p>
        </w:tc>
        <w:tc>
          <w:tcPr>
            <w:tcW w:type="dxa" w:w="1560"/>
            <w:vAlign w:val="center"/>
          </w:tcPr>
          <w:p>
            <w:pPr>
              <w:spacing w:before="0" w:after="0" w:line="252" w:lineRule="auto"/>
              <w:jc w:val="center"/>
            </w:pPr>
            <w:r/>
            <w:r>
              <w:rPr>
                <w:rFonts w:ascii="Calibri" w:hAnsi="Calibri" w:eastAsia="Microsoft YaHei"/>
                <w:b w:val="0"/>
                <w:sz w:val="16"/>
              </w:rPr>
              <w:t>0.000112</w:t>
            </w:r>
          </w:p>
        </w:tc>
        <w:tc>
          <w:tcPr>
            <w:tcW w:type="dxa" w:w="1560"/>
            <w:vAlign w:val="center"/>
          </w:tcPr>
          <w:p>
            <w:pPr>
              <w:spacing w:before="0" w:after="0" w:line="252" w:lineRule="auto"/>
              <w:jc w:val="center"/>
            </w:pPr>
            <w:r/>
            <w:r>
              <w:rPr>
                <w:rFonts w:ascii="Calibri" w:hAnsi="Calibri" w:eastAsia="Microsoft YaHei"/>
                <w:b w:val="0"/>
                <w:sz w:val="16"/>
              </w:rPr>
              <w:t>0.4571</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no-dis</w:t>
            </w:r>
          </w:p>
        </w:tc>
        <w:tc>
          <w:tcPr>
            <w:tcW w:type="dxa" w:w="1560"/>
            <w:vAlign w:val="center"/>
          </w:tcPr>
          <w:p>
            <w:pPr>
              <w:spacing w:before="0" w:after="0" w:line="252" w:lineRule="auto"/>
              <w:jc w:val="center"/>
            </w:pPr>
            <w:r/>
            <w:r>
              <w:rPr>
                <w:rFonts w:ascii="Calibri" w:hAnsi="Calibri" w:eastAsia="Microsoft YaHei"/>
                <w:b w:val="0"/>
                <w:sz w:val="16"/>
              </w:rPr>
              <w:t>50</w:t>
            </w:r>
          </w:p>
        </w:tc>
        <w:tc>
          <w:tcPr>
            <w:tcW w:type="dxa" w:w="1560"/>
            <w:vAlign w:val="center"/>
          </w:tcPr>
          <w:p>
            <w:pPr>
              <w:spacing w:before="0" w:after="0" w:line="252" w:lineRule="auto"/>
              <w:jc w:val="center"/>
            </w:pPr>
            <w:r/>
            <w:r>
              <w:rPr>
                <w:rFonts w:ascii="Calibri" w:hAnsi="Calibri" w:eastAsia="Microsoft YaHei"/>
                <w:b w:val="0"/>
                <w:sz w:val="16"/>
              </w:rPr>
              <w:t>1070.7882</w:t>
            </w:r>
          </w:p>
        </w:tc>
        <w:tc>
          <w:tcPr>
            <w:tcW w:type="dxa" w:w="1560"/>
            <w:vAlign w:val="center"/>
          </w:tcPr>
          <w:p>
            <w:pPr>
              <w:spacing w:before="0" w:after="0" w:line="252" w:lineRule="auto"/>
              <w:jc w:val="center"/>
            </w:pPr>
            <w:r/>
            <w:r>
              <w:rPr>
                <w:rFonts w:ascii="Calibri" w:hAnsi="Calibri" w:eastAsia="Microsoft YaHei"/>
                <w:b w:val="0"/>
                <w:sz w:val="16"/>
              </w:rPr>
              <w:t>0.000286</w:t>
            </w:r>
          </w:p>
        </w:tc>
        <w:tc>
          <w:tcPr>
            <w:tcW w:type="dxa" w:w="1560"/>
            <w:vAlign w:val="center"/>
          </w:tcPr>
          <w:p>
            <w:pPr>
              <w:spacing w:before="0" w:after="0" w:line="252" w:lineRule="auto"/>
              <w:jc w:val="center"/>
            </w:pPr>
            <w:r/>
            <w:r>
              <w:rPr>
                <w:rFonts w:ascii="Calibri" w:hAnsi="Calibri" w:eastAsia="Microsoft YaHei"/>
                <w:b w:val="0"/>
                <w:sz w:val="16"/>
              </w:rPr>
              <w:t>0.5727</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no-adaptive</w:t>
            </w:r>
          </w:p>
        </w:tc>
        <w:tc>
          <w:tcPr>
            <w:tcW w:type="dxa" w:w="1560"/>
            <w:vAlign w:val="center"/>
          </w:tcPr>
          <w:p>
            <w:pPr>
              <w:spacing w:before="0" w:after="0" w:line="252" w:lineRule="auto"/>
              <w:jc w:val="center"/>
            </w:pPr>
            <w:r/>
            <w:r>
              <w:rPr>
                <w:rFonts w:ascii="Calibri" w:hAnsi="Calibri" w:eastAsia="Microsoft YaHei"/>
                <w:b w:val="0"/>
                <w:sz w:val="16"/>
              </w:rPr>
              <w:t>20</w:t>
            </w:r>
          </w:p>
        </w:tc>
        <w:tc>
          <w:tcPr>
            <w:tcW w:type="dxa" w:w="1560"/>
            <w:vAlign w:val="center"/>
          </w:tcPr>
          <w:p>
            <w:pPr>
              <w:spacing w:before="0" w:after="0" w:line="252" w:lineRule="auto"/>
              <w:jc w:val="center"/>
            </w:pPr>
            <w:r/>
            <w:r>
              <w:rPr>
                <w:rFonts w:ascii="Calibri" w:hAnsi="Calibri" w:eastAsia="Microsoft YaHei"/>
                <w:b w:val="0"/>
                <w:sz w:val="16"/>
              </w:rPr>
              <w:t>1027.4270</w:t>
            </w:r>
          </w:p>
        </w:tc>
        <w:tc>
          <w:tcPr>
            <w:tcW w:type="dxa" w:w="1560"/>
            <w:vAlign w:val="center"/>
          </w:tcPr>
          <w:p>
            <w:pPr>
              <w:spacing w:before="0" w:after="0" w:line="252" w:lineRule="auto"/>
              <w:jc w:val="center"/>
            </w:pPr>
            <w:r/>
            <w:r>
              <w:rPr>
                <w:rFonts w:ascii="Calibri" w:hAnsi="Calibri" w:eastAsia="Microsoft YaHei"/>
                <w:b w:val="0"/>
                <w:sz w:val="16"/>
              </w:rPr>
              <w:t>0.003740</w:t>
            </w:r>
          </w:p>
        </w:tc>
        <w:tc>
          <w:tcPr>
            <w:tcW w:type="dxa" w:w="1560"/>
            <w:vAlign w:val="center"/>
          </w:tcPr>
          <w:p>
            <w:pPr>
              <w:spacing w:before="0" w:after="0" w:line="252" w:lineRule="auto"/>
              <w:jc w:val="center"/>
            </w:pPr>
            <w:r/>
            <w:r>
              <w:rPr>
                <w:rFonts w:ascii="Calibri" w:hAnsi="Calibri" w:eastAsia="Microsoft YaHei"/>
                <w:b w:val="0"/>
                <w:sz w:val="16"/>
              </w:rPr>
              <w:t>0.7595</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no-adaptive</w:t>
            </w:r>
          </w:p>
        </w:tc>
        <w:tc>
          <w:tcPr>
            <w:tcW w:type="dxa" w:w="1560"/>
            <w:vAlign w:val="center"/>
          </w:tcPr>
          <w:p>
            <w:pPr>
              <w:spacing w:before="0" w:after="0" w:line="252" w:lineRule="auto"/>
              <w:jc w:val="center"/>
            </w:pPr>
            <w:r/>
            <w:r>
              <w:rPr>
                <w:rFonts w:ascii="Calibri" w:hAnsi="Calibri" w:eastAsia="Microsoft YaHei"/>
                <w:b w:val="0"/>
                <w:sz w:val="16"/>
              </w:rPr>
              <w:t>50</w:t>
            </w:r>
          </w:p>
        </w:tc>
        <w:tc>
          <w:tcPr>
            <w:tcW w:type="dxa" w:w="1560"/>
            <w:vAlign w:val="center"/>
          </w:tcPr>
          <w:p>
            <w:pPr>
              <w:spacing w:before="0" w:after="0" w:line="252" w:lineRule="auto"/>
              <w:jc w:val="center"/>
            </w:pPr>
            <w:r/>
            <w:r>
              <w:rPr>
                <w:rFonts w:ascii="Calibri" w:hAnsi="Calibri" w:eastAsia="Microsoft YaHei"/>
                <w:b w:val="0"/>
                <w:sz w:val="16"/>
              </w:rPr>
              <w:t>1050.9655</w:t>
            </w:r>
          </w:p>
        </w:tc>
        <w:tc>
          <w:tcPr>
            <w:tcW w:type="dxa" w:w="1560"/>
            <w:vAlign w:val="center"/>
          </w:tcPr>
          <w:p>
            <w:pPr>
              <w:spacing w:before="0" w:after="0" w:line="252" w:lineRule="auto"/>
              <w:jc w:val="center"/>
            </w:pPr>
            <w:r/>
            <w:r>
              <w:rPr>
                <w:rFonts w:ascii="Calibri" w:hAnsi="Calibri" w:eastAsia="Microsoft YaHei"/>
                <w:b w:val="0"/>
                <w:sz w:val="16"/>
              </w:rPr>
              <w:t>0.004761</w:t>
            </w:r>
          </w:p>
        </w:tc>
        <w:tc>
          <w:tcPr>
            <w:tcW w:type="dxa" w:w="1560"/>
            <w:vAlign w:val="center"/>
          </w:tcPr>
          <w:p>
            <w:pPr>
              <w:spacing w:before="0" w:after="0" w:line="252" w:lineRule="auto"/>
              <w:jc w:val="center"/>
            </w:pPr>
            <w:r/>
            <w:r>
              <w:rPr>
                <w:rFonts w:ascii="Calibri" w:hAnsi="Calibri" w:eastAsia="Microsoft YaHei"/>
                <w:b w:val="0"/>
                <w:sz w:val="16"/>
              </w:rPr>
              <w:t>0.8933</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low-dis</w:t>
            </w:r>
          </w:p>
        </w:tc>
        <w:tc>
          <w:tcPr>
            <w:tcW w:type="dxa" w:w="1560"/>
            <w:vAlign w:val="center"/>
          </w:tcPr>
          <w:p>
            <w:pPr>
              <w:spacing w:before="0" w:after="0" w:line="252" w:lineRule="auto"/>
              <w:jc w:val="center"/>
            </w:pPr>
            <w:r/>
            <w:r>
              <w:rPr>
                <w:rFonts w:ascii="Calibri" w:hAnsi="Calibri" w:eastAsia="Microsoft YaHei"/>
                <w:b w:val="0"/>
                <w:sz w:val="16"/>
              </w:rPr>
              <w:t>20</w:t>
            </w:r>
          </w:p>
        </w:tc>
        <w:tc>
          <w:tcPr>
            <w:tcW w:type="dxa" w:w="1560"/>
            <w:vAlign w:val="center"/>
          </w:tcPr>
          <w:p>
            <w:pPr>
              <w:spacing w:before="0" w:after="0" w:line="252" w:lineRule="auto"/>
              <w:jc w:val="center"/>
            </w:pPr>
            <w:r/>
            <w:r>
              <w:rPr>
                <w:rFonts w:ascii="Calibri" w:hAnsi="Calibri" w:eastAsia="Microsoft YaHei"/>
                <w:b w:val="0"/>
                <w:sz w:val="16"/>
              </w:rPr>
              <w:t>982.3677</w:t>
            </w:r>
          </w:p>
        </w:tc>
        <w:tc>
          <w:tcPr>
            <w:tcW w:type="dxa" w:w="1560"/>
            <w:vAlign w:val="center"/>
          </w:tcPr>
          <w:p>
            <w:pPr>
              <w:spacing w:before="0" w:after="0" w:line="252" w:lineRule="auto"/>
              <w:jc w:val="center"/>
            </w:pPr>
            <w:r/>
            <w:r>
              <w:rPr>
                <w:rFonts w:ascii="Calibri" w:hAnsi="Calibri" w:eastAsia="Microsoft YaHei"/>
                <w:b w:val="0"/>
                <w:sz w:val="16"/>
              </w:rPr>
              <w:t>0.000437</w:t>
            </w:r>
          </w:p>
        </w:tc>
        <w:tc>
          <w:tcPr>
            <w:tcW w:type="dxa" w:w="1560"/>
            <w:vAlign w:val="center"/>
          </w:tcPr>
          <w:p>
            <w:pPr>
              <w:spacing w:before="0" w:after="0" w:line="252" w:lineRule="auto"/>
              <w:jc w:val="center"/>
            </w:pPr>
            <w:r/>
            <w:r>
              <w:rPr>
                <w:rFonts w:ascii="Calibri" w:hAnsi="Calibri" w:eastAsia="Microsoft YaHei"/>
                <w:b w:val="0"/>
                <w:sz w:val="16"/>
              </w:rPr>
              <w:t>0.5206</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low-dis</w:t>
            </w:r>
          </w:p>
        </w:tc>
        <w:tc>
          <w:tcPr>
            <w:tcW w:type="dxa" w:w="1560"/>
            <w:vAlign w:val="center"/>
          </w:tcPr>
          <w:p>
            <w:pPr>
              <w:spacing w:before="0" w:after="0" w:line="252" w:lineRule="auto"/>
              <w:jc w:val="center"/>
            </w:pPr>
            <w:r/>
            <w:r>
              <w:rPr>
                <w:rFonts w:ascii="Calibri" w:hAnsi="Calibri" w:eastAsia="Microsoft YaHei"/>
                <w:b w:val="0"/>
                <w:sz w:val="16"/>
              </w:rPr>
              <w:t>50</w:t>
            </w:r>
          </w:p>
        </w:tc>
        <w:tc>
          <w:tcPr>
            <w:tcW w:type="dxa" w:w="1560"/>
            <w:vAlign w:val="center"/>
          </w:tcPr>
          <w:p>
            <w:pPr>
              <w:spacing w:before="0" w:after="0" w:line="252" w:lineRule="auto"/>
              <w:jc w:val="center"/>
            </w:pPr>
            <w:r/>
            <w:r>
              <w:rPr>
                <w:rFonts w:ascii="Calibri" w:hAnsi="Calibri" w:eastAsia="Microsoft YaHei"/>
                <w:b w:val="0"/>
                <w:sz w:val="16"/>
              </w:rPr>
              <w:t>974.8141</w:t>
            </w:r>
          </w:p>
        </w:tc>
        <w:tc>
          <w:tcPr>
            <w:tcW w:type="dxa" w:w="1560"/>
            <w:vAlign w:val="center"/>
          </w:tcPr>
          <w:p>
            <w:pPr>
              <w:spacing w:before="0" w:after="0" w:line="252" w:lineRule="auto"/>
              <w:jc w:val="center"/>
            </w:pPr>
            <w:r/>
            <w:r>
              <w:rPr>
                <w:rFonts w:ascii="Calibri" w:hAnsi="Calibri" w:eastAsia="Microsoft YaHei"/>
                <w:b w:val="0"/>
                <w:sz w:val="16"/>
              </w:rPr>
              <w:t>0.000814</w:t>
            </w:r>
          </w:p>
        </w:tc>
        <w:tc>
          <w:tcPr>
            <w:tcW w:type="dxa" w:w="1560"/>
            <w:vAlign w:val="center"/>
          </w:tcPr>
          <w:p>
            <w:pPr>
              <w:spacing w:before="0" w:after="0" w:line="252" w:lineRule="auto"/>
              <w:jc w:val="center"/>
            </w:pPr>
            <w:r/>
            <w:r>
              <w:rPr>
                <w:rFonts w:ascii="Calibri" w:hAnsi="Calibri" w:eastAsia="Microsoft YaHei"/>
                <w:b w:val="0"/>
                <w:sz w:val="16"/>
              </w:rPr>
              <w:t>0.6640</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high-dis</w:t>
            </w:r>
          </w:p>
        </w:tc>
        <w:tc>
          <w:tcPr>
            <w:tcW w:type="dxa" w:w="1560"/>
            <w:vAlign w:val="center"/>
          </w:tcPr>
          <w:p>
            <w:pPr>
              <w:spacing w:before="0" w:after="0" w:line="252" w:lineRule="auto"/>
              <w:jc w:val="center"/>
            </w:pPr>
            <w:r/>
            <w:r>
              <w:rPr>
                <w:rFonts w:ascii="Calibri" w:hAnsi="Calibri" w:eastAsia="Microsoft YaHei"/>
                <w:b w:val="0"/>
                <w:sz w:val="16"/>
              </w:rPr>
              <w:t>20</w:t>
            </w:r>
          </w:p>
        </w:tc>
        <w:tc>
          <w:tcPr>
            <w:tcW w:type="dxa" w:w="1560"/>
            <w:vAlign w:val="center"/>
          </w:tcPr>
          <w:p>
            <w:pPr>
              <w:spacing w:before="0" w:after="0" w:line="252" w:lineRule="auto"/>
              <w:jc w:val="center"/>
            </w:pPr>
            <w:r/>
            <w:r>
              <w:rPr>
                <w:rFonts w:ascii="Calibri" w:hAnsi="Calibri" w:eastAsia="Microsoft YaHei"/>
                <w:b w:val="0"/>
                <w:sz w:val="16"/>
              </w:rPr>
              <w:t>1194.6630</w:t>
            </w:r>
          </w:p>
        </w:tc>
        <w:tc>
          <w:tcPr>
            <w:tcW w:type="dxa" w:w="1560"/>
            <w:vAlign w:val="center"/>
          </w:tcPr>
          <w:p>
            <w:pPr>
              <w:spacing w:before="0" w:after="0" w:line="252" w:lineRule="auto"/>
              <w:jc w:val="center"/>
            </w:pPr>
            <w:r/>
            <w:r>
              <w:rPr>
                <w:rFonts w:ascii="Calibri" w:hAnsi="Calibri" w:eastAsia="Microsoft YaHei"/>
                <w:b w:val="0"/>
                <w:sz w:val="16"/>
              </w:rPr>
              <w:t>0.000579</w:t>
            </w:r>
          </w:p>
        </w:tc>
        <w:tc>
          <w:tcPr>
            <w:tcW w:type="dxa" w:w="1560"/>
            <w:vAlign w:val="center"/>
          </w:tcPr>
          <w:p>
            <w:pPr>
              <w:spacing w:before="0" w:after="0" w:line="252" w:lineRule="auto"/>
              <w:jc w:val="center"/>
            </w:pPr>
            <w:r/>
            <w:r>
              <w:rPr>
                <w:rFonts w:ascii="Calibri" w:hAnsi="Calibri" w:eastAsia="Microsoft YaHei"/>
                <w:b w:val="0"/>
                <w:sz w:val="16"/>
              </w:rPr>
              <w:t>0.5489</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high-dis</w:t>
            </w:r>
          </w:p>
        </w:tc>
        <w:tc>
          <w:tcPr>
            <w:tcW w:type="dxa" w:w="1560"/>
            <w:vAlign w:val="center"/>
          </w:tcPr>
          <w:p>
            <w:pPr>
              <w:spacing w:before="0" w:after="0" w:line="252" w:lineRule="auto"/>
              <w:jc w:val="center"/>
            </w:pPr>
            <w:r/>
            <w:r>
              <w:rPr>
                <w:rFonts w:ascii="Calibri" w:hAnsi="Calibri" w:eastAsia="Microsoft YaHei"/>
                <w:b w:val="0"/>
                <w:sz w:val="16"/>
              </w:rPr>
              <w:t>50</w:t>
            </w:r>
          </w:p>
        </w:tc>
        <w:tc>
          <w:tcPr>
            <w:tcW w:type="dxa" w:w="1560"/>
            <w:vAlign w:val="center"/>
          </w:tcPr>
          <w:p>
            <w:pPr>
              <w:spacing w:before="0" w:after="0" w:line="252" w:lineRule="auto"/>
              <w:jc w:val="center"/>
            </w:pPr>
            <w:r/>
            <w:r>
              <w:rPr>
                <w:rFonts w:ascii="Calibri" w:hAnsi="Calibri" w:eastAsia="Microsoft YaHei"/>
                <w:b w:val="0"/>
                <w:sz w:val="16"/>
              </w:rPr>
              <w:t>1206.8533</w:t>
            </w:r>
          </w:p>
        </w:tc>
        <w:tc>
          <w:tcPr>
            <w:tcW w:type="dxa" w:w="1560"/>
            <w:vAlign w:val="center"/>
          </w:tcPr>
          <w:p>
            <w:pPr>
              <w:spacing w:before="0" w:after="0" w:line="252" w:lineRule="auto"/>
              <w:jc w:val="center"/>
            </w:pPr>
            <w:r/>
            <w:r>
              <w:rPr>
                <w:rFonts w:ascii="Calibri" w:hAnsi="Calibri" w:eastAsia="Microsoft YaHei"/>
                <w:b w:val="0"/>
                <w:sz w:val="16"/>
              </w:rPr>
              <w:t>0.001064</w:t>
            </w:r>
          </w:p>
        </w:tc>
        <w:tc>
          <w:tcPr>
            <w:tcW w:type="dxa" w:w="1560"/>
            <w:vAlign w:val="center"/>
          </w:tcPr>
          <w:p>
            <w:pPr>
              <w:spacing w:before="0" w:after="0" w:line="252" w:lineRule="auto"/>
              <w:jc w:val="center"/>
            </w:pPr>
            <w:r/>
            <w:r>
              <w:rPr>
                <w:rFonts w:ascii="Calibri" w:hAnsi="Calibri" w:eastAsia="Microsoft YaHei"/>
                <w:b w:val="0"/>
                <w:sz w:val="16"/>
              </w:rPr>
              <w:t>0.6966</w:t>
            </w:r>
          </w:p>
        </w:tc>
        <w:tc>
          <w:tcPr>
            <w:tcW w:type="dxa" w:w="1560"/>
            <w:vAlign w:val="center"/>
          </w:tcPr>
          <w:p>
            <w:pPr>
              <w:spacing w:before="0" w:after="0" w:line="252" w:lineRule="auto"/>
              <w:jc w:val="center"/>
            </w:pPr>
            <w:r/>
            <w:r>
              <w:rPr>
                <w:rFonts w:ascii="Calibri" w:hAnsi="Calibri" w:eastAsia="Microsoft YaHei"/>
                <w:b w:val="0"/>
                <w:sz w:val="16"/>
              </w:rPr>
              <w:t>20480</w:t>
            </w:r>
          </w:p>
        </w:tc>
      </w:tr>
    </w:tbl>
    <w:p>
      <w:pPr>
        <w:spacing w:before="0" w:after="40" w:line="264" w:lineRule="auto"/>
      </w:pPr>
      <w:r>
        <w:rPr>
          <w:rFonts w:ascii="Calibri" w:hAnsi="Calibri" w:eastAsia="Microsoft YaHei"/>
          <w:b w:val="0"/>
          <w:i w:val="0"/>
          <w:sz w:val="22"/>
        </w:rPr>
      </w:r>
    </w:p>
    <w:p>
      <w:pPr>
        <w:jc w:val="center"/>
      </w:pPr>
      <w:r>
        <w:drawing>
          <wp:inline xmlns:a="http://schemas.openxmlformats.org/drawingml/2006/main" xmlns:pic="http://schemas.openxmlformats.org/drawingml/2006/picture">
            <wp:extent cx="5577840" cy="3063884"/>
            <wp:docPr id="5" name="Picture 5"/>
            <wp:cNvGraphicFramePr>
              <a:graphicFrameLocks noChangeAspect="1"/>
            </wp:cNvGraphicFramePr>
            <a:graphic>
              <a:graphicData uri="http://schemas.openxmlformats.org/drawingml/2006/picture">
                <pic:pic>
                  <pic:nvPicPr>
                    <pic:cNvPr id="0" name="fig4_popularity_coverage.png"/>
                    <pic:cNvPicPr/>
                  </pic:nvPicPr>
                  <pic:blipFill>
                    <a:blip r:embed="rId15"/>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消融实验中的 AvgPop@20 与 Coverage@20</w:t>
      </w:r>
    </w:p>
    <w:p>
      <w:pPr>
        <w:pStyle w:val="Heading2"/>
        <w:keepNext/>
      </w:pPr>
      <w:r>
        <w:rPr>
          <w:rFonts w:ascii="Calibri" w:hAnsi="Calibri" w:eastAsia="Microsoft YaHei"/>
          <w:b/>
          <w:color w:val="2E74B5"/>
          <w:sz w:val="26"/>
        </w:rPr>
        <w:t>7.3 消融结论</w:t>
      </w:r>
    </w:p>
    <w:p>
      <w:pPr>
        <w:pStyle w:val="ListBullet"/>
        <w:spacing w:after="80"/>
      </w:pPr>
      <w:r>
        <w:rPr>
          <w:rFonts w:ascii="Calibri" w:hAnsi="Calibri" w:eastAsia="Microsoft YaHei"/>
          <w:sz w:val="21"/>
        </w:rPr>
        <w:t>no-adaptive 的 Recall@20 从 baseline 的 0.1551 降至 0.1465，说明 adaptive 训练对 NeuMF-DICE 有实际贡献。</w:t>
      </w:r>
    </w:p>
    <w:p>
      <w:pPr>
        <w:pStyle w:val="ListBullet"/>
        <w:spacing w:after="80"/>
      </w:pPr>
      <w:r>
        <w:rPr>
          <w:rFonts w:ascii="Calibri" w:hAnsi="Calibri" w:eastAsia="Microsoft YaHei"/>
          <w:sz w:val="21"/>
        </w:rPr>
        <w:t>high-dis 的 Recall@20 只有 0.1427，是消融中较低结果，说明解耦惩罚不是越强越好，过强约束会损害表示学习。</w:t>
      </w:r>
    </w:p>
    <w:p>
      <w:pPr>
        <w:pStyle w:val="ListBullet"/>
        <w:spacing w:after="80"/>
      </w:pPr>
      <w:r>
        <w:rPr>
          <w:rFonts w:ascii="Calibri" w:hAnsi="Calibri" w:eastAsia="Microsoft YaHei"/>
          <w:sz w:val="21"/>
        </w:rPr>
        <w:t>low-dis 的 AvgPop@20 为 982.3677，是消融设置中较低水平，同时 Recall@20 保持在 0.1569，体现了较好的准确率-去偏平衡。</w:t>
      </w:r>
    </w:p>
    <w:p>
      <w:pPr>
        <w:pStyle w:val="ListBullet"/>
        <w:spacing w:after="80"/>
      </w:pPr>
      <w:r>
        <w:rPr>
          <w:rFonts w:ascii="Calibri" w:hAnsi="Calibri" w:eastAsia="Microsoft YaHei"/>
          <w:sz w:val="21"/>
        </w:rPr>
        <w:t>no-dis 虽然 Recall@20 最高，但 AvgPop@20 达到 1103.3716，Coverage@20 只有 0.4571，说明其准确率更可能来自热门物品收益，不应作为去偏任务的最优结论。</w:t>
      </w:r>
    </w:p>
    <w:p>
      <w:pPr>
        <w:pStyle w:val="Heading1"/>
        <w:keepNext/>
      </w:pPr>
      <w:r>
        <w:rPr>
          <w:rFonts w:ascii="Calibri" w:hAnsi="Calibri" w:eastAsia="Microsoft YaHei"/>
          <w:b/>
          <w:color w:val="2E74B5"/>
          <w:sz w:val="32"/>
        </w:rPr>
        <w:t>8. 与论文和选题报告方案的比较</w:t>
      </w:r>
    </w:p>
    <w:p>
      <w:pPr>
        <w:pStyle w:val="Heading2"/>
        <w:keepNext/>
      </w:pPr>
      <w:r>
        <w:rPr>
          <w:rFonts w:ascii="Calibri" w:hAnsi="Calibri" w:eastAsia="Microsoft YaHei"/>
          <w:b/>
          <w:color w:val="2E74B5"/>
          <w:sz w:val="26"/>
        </w:rPr>
        <w:t>8.1 与原论文目标的关系</w:t>
      </w:r>
    </w:p>
    <w:p>
      <w:pPr>
        <w:spacing w:after="120" w:line="264" w:lineRule="auto"/>
      </w:pPr>
      <w:r>
        <w:rPr>
          <w:rFonts w:ascii="Calibri" w:hAnsi="Calibri" w:eastAsia="Microsoft YaHei"/>
          <w:b w:val="0"/>
          <w:sz w:val="22"/>
        </w:rPr>
        <w:t>原论文关注的是流行度偏差下的推荐去偏，而不是单纯提升普通测试集准确率。本项目的实验结果与这一目标一致：DICE 在 Longtail 测试中提升更明显，在 Head 测试中通常降低准确率。这说明模型改变了对热门物品信号的依赖方式。</w:t>
      </w:r>
    </w:p>
    <w:p>
      <w:pPr>
        <w:spacing w:after="120" w:line="264" w:lineRule="auto"/>
      </w:pPr>
      <w:r>
        <w:rPr>
          <w:rFonts w:ascii="Calibri" w:hAnsi="Calibri" w:eastAsia="Microsoft YaHei"/>
          <w:b w:val="0"/>
          <w:sz w:val="22"/>
        </w:rPr>
        <w:t>因此，与论文相比，本项目不是复刻全部官方表格，而是在课程评分标准下重点完成了数据分布复现和 backbone 替换验证。NeuMF、NGCF 和 VAE 的结果共同说明：DICE 解耦思想具有一定跨模型迁移性，但存在准确率与去偏效果之间的权衡。</w:t>
      </w:r>
    </w:p>
    <w:p>
      <w:pPr>
        <w:pStyle w:val="Heading2"/>
        <w:keepNext/>
      </w:pPr>
      <w:r>
        <w:rPr>
          <w:rFonts w:ascii="Calibri" w:hAnsi="Calibri" w:eastAsia="Microsoft YaHei"/>
          <w:b/>
          <w:color w:val="2E74B5"/>
          <w:sz w:val="26"/>
        </w:rPr>
        <w:t>8.2 与选题报告方案的关系</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shd w:fill="E8EEF5"/>
          </w:tcPr>
          <w:p>
            <w:pPr>
              <w:spacing w:before="0" w:after="0" w:line="252" w:lineRule="auto"/>
              <w:jc w:val="center"/>
            </w:pPr>
            <w:r/>
            <w:r>
              <w:rPr>
                <w:rFonts w:ascii="Calibri" w:hAnsi="Calibri" w:eastAsia="Microsoft YaHei"/>
                <w:b/>
                <w:sz w:val="17"/>
              </w:rPr>
              <w:t>维度</w:t>
            </w:r>
          </w:p>
        </w:tc>
        <w:tc>
          <w:tcPr>
            <w:tcW w:type="dxa" w:w="2340"/>
            <w:vAlign w:val="center"/>
            <w:shd w:fill="E8EEF5"/>
          </w:tcPr>
          <w:p>
            <w:pPr>
              <w:spacing w:before="0" w:after="0" w:line="252" w:lineRule="auto"/>
              <w:jc w:val="center"/>
            </w:pPr>
            <w:r/>
            <w:r>
              <w:rPr>
                <w:rFonts w:ascii="Calibri" w:hAnsi="Calibri" w:eastAsia="Microsoft YaHei"/>
                <w:b/>
                <w:sz w:val="17"/>
              </w:rPr>
              <w:t>选题报告设想</w:t>
            </w:r>
          </w:p>
        </w:tc>
        <w:tc>
          <w:tcPr>
            <w:tcW w:type="dxa" w:w="2340"/>
            <w:vAlign w:val="center"/>
            <w:shd w:fill="E8EEF5"/>
          </w:tcPr>
          <w:p>
            <w:pPr>
              <w:spacing w:before="0" w:after="0" w:line="252" w:lineRule="auto"/>
              <w:jc w:val="center"/>
            </w:pPr>
            <w:r/>
            <w:r>
              <w:rPr>
                <w:rFonts w:ascii="Calibri" w:hAnsi="Calibri" w:eastAsia="Microsoft YaHei"/>
                <w:b/>
                <w:sz w:val="17"/>
              </w:rPr>
              <w:t>当前完成情况</w:t>
            </w:r>
          </w:p>
        </w:tc>
        <w:tc>
          <w:tcPr>
            <w:tcW w:type="dxa" w:w="2340"/>
            <w:vAlign w:val="center"/>
            <w:shd w:fill="E8EEF5"/>
          </w:tcPr>
          <w:p>
            <w:pPr>
              <w:spacing w:before="0" w:after="0" w:line="252" w:lineRule="auto"/>
              <w:jc w:val="center"/>
            </w:pPr>
            <w:r/>
            <w:r>
              <w:rPr>
                <w:rFonts w:ascii="Calibri" w:hAnsi="Calibri" w:eastAsia="Microsoft YaHei"/>
                <w:b/>
                <w:sz w:val="17"/>
              </w:rPr>
              <w:t>评价</w:t>
            </w:r>
          </w:p>
        </w:tc>
      </w:tr>
      <w:tr>
        <w:tc>
          <w:tcPr>
            <w:tcW w:type="dxa" w:w="2340"/>
            <w:vAlign w:val="center"/>
          </w:tcPr>
          <w:p>
            <w:pPr>
              <w:spacing w:before="0" w:after="0" w:line="252" w:lineRule="auto"/>
              <w:jc w:val="center"/>
            </w:pPr>
            <w:r/>
            <w:r>
              <w:rPr>
                <w:rFonts w:ascii="Calibri" w:hAnsi="Calibri" w:eastAsia="Microsoft YaHei"/>
                <w:b w:val="0"/>
                <w:sz w:val="16"/>
              </w:rPr>
              <w:t>三星复现</w:t>
            </w:r>
          </w:p>
        </w:tc>
        <w:tc>
          <w:tcPr>
            <w:tcW w:type="dxa" w:w="2340"/>
            <w:vAlign w:val="center"/>
          </w:tcPr>
          <w:p>
            <w:pPr>
              <w:spacing w:before="0" w:after="0" w:line="252" w:lineRule="auto"/>
              <w:jc w:val="left"/>
            </w:pPr>
            <w:r/>
            <w:r>
              <w:rPr>
                <w:rFonts w:ascii="Calibri" w:hAnsi="Calibri" w:eastAsia="Microsoft YaHei"/>
                <w:b w:val="0"/>
                <w:sz w:val="16"/>
              </w:rPr>
              <w:t>重构数据划分，复现偏置测试与无偏测试。</w:t>
            </w:r>
          </w:p>
        </w:tc>
        <w:tc>
          <w:tcPr>
            <w:tcW w:type="dxa" w:w="2340"/>
            <w:vAlign w:val="center"/>
          </w:tcPr>
          <w:p>
            <w:pPr>
              <w:spacing w:before="0" w:after="0" w:line="252" w:lineRule="auto"/>
              <w:jc w:val="left"/>
            </w:pPr>
            <w:r/>
            <w:r>
              <w:rPr>
                <w:rFonts w:ascii="Calibri" w:hAnsi="Calibri" w:eastAsia="Microsoft YaHei"/>
                <w:b w:val="0"/>
                <w:sz w:val="16"/>
              </w:rPr>
              <w:t>已完成 Longtail/Uniform/Head 数据与基础实验。</w:t>
            </w:r>
          </w:p>
        </w:tc>
        <w:tc>
          <w:tcPr>
            <w:tcW w:type="dxa" w:w="2340"/>
            <w:vAlign w:val="center"/>
          </w:tcPr>
          <w:p>
            <w:pPr>
              <w:spacing w:before="0" w:after="0" w:line="252" w:lineRule="auto"/>
              <w:jc w:val="center"/>
            </w:pPr>
            <w:r/>
            <w:r>
              <w:rPr>
                <w:rFonts w:ascii="Calibri" w:hAnsi="Calibri" w:eastAsia="Microsoft YaHei"/>
                <w:b w:val="0"/>
                <w:sz w:val="16"/>
              </w:rPr>
              <w:t>满足三星基础。</w:t>
            </w:r>
          </w:p>
        </w:tc>
      </w:tr>
      <w:tr>
        <w:tc>
          <w:tcPr>
            <w:tcW w:type="dxa" w:w="2340"/>
            <w:vAlign w:val="center"/>
          </w:tcPr>
          <w:p>
            <w:pPr>
              <w:spacing w:before="0" w:after="0" w:line="252" w:lineRule="auto"/>
              <w:jc w:val="center"/>
            </w:pPr>
            <w:r/>
            <w:r>
              <w:rPr>
                <w:rFonts w:ascii="Calibri" w:hAnsi="Calibri" w:eastAsia="Microsoft YaHei"/>
                <w:b w:val="0"/>
                <w:sz w:val="16"/>
              </w:rPr>
              <w:t>四星主线</w:t>
            </w:r>
          </w:p>
        </w:tc>
        <w:tc>
          <w:tcPr>
            <w:tcW w:type="dxa" w:w="2340"/>
            <w:vAlign w:val="center"/>
          </w:tcPr>
          <w:p>
            <w:pPr>
              <w:spacing w:before="0" w:after="0" w:line="252" w:lineRule="auto"/>
              <w:jc w:val="left"/>
            </w:pPr>
            <w:r/>
            <w:r>
              <w:rPr>
                <w:rFonts w:ascii="Calibri" w:hAnsi="Calibri" w:eastAsia="Microsoft YaHei"/>
                <w:b w:val="0"/>
                <w:sz w:val="16"/>
              </w:rPr>
              <w:t>扩展 NeuMF、NGCF、VAE 等 backbone。</w:t>
            </w:r>
          </w:p>
        </w:tc>
        <w:tc>
          <w:tcPr>
            <w:tcW w:type="dxa" w:w="2340"/>
            <w:vAlign w:val="center"/>
          </w:tcPr>
          <w:p>
            <w:pPr>
              <w:spacing w:before="0" w:after="0" w:line="252" w:lineRule="auto"/>
              <w:jc w:val="left"/>
            </w:pPr>
            <w:r/>
            <w:r>
              <w:rPr>
                <w:rFonts w:ascii="Calibri" w:hAnsi="Calibri" w:eastAsia="Microsoft YaHei"/>
                <w:b w:val="0"/>
                <w:sz w:val="16"/>
              </w:rPr>
              <w:t>已完成 NeuMF、NGCF 和 VAE 三类 backbone。</w:t>
            </w:r>
          </w:p>
        </w:tc>
        <w:tc>
          <w:tcPr>
            <w:tcW w:type="dxa" w:w="2340"/>
            <w:vAlign w:val="center"/>
          </w:tcPr>
          <w:p>
            <w:pPr>
              <w:spacing w:before="0" w:after="0" w:line="252" w:lineRule="auto"/>
              <w:jc w:val="center"/>
            </w:pPr>
            <w:r/>
            <w:r>
              <w:rPr>
                <w:rFonts w:ascii="Calibri" w:hAnsi="Calibri" w:eastAsia="Microsoft YaHei"/>
                <w:b w:val="0"/>
                <w:sz w:val="16"/>
              </w:rPr>
              <w:t>形成较完整的四星扩展版本。</w:t>
            </w:r>
          </w:p>
        </w:tc>
      </w:tr>
      <w:tr>
        <w:tc>
          <w:tcPr>
            <w:tcW w:type="dxa" w:w="2340"/>
            <w:vAlign w:val="center"/>
          </w:tcPr>
          <w:p>
            <w:pPr>
              <w:spacing w:before="0" w:after="0" w:line="252" w:lineRule="auto"/>
              <w:jc w:val="center"/>
            </w:pPr>
            <w:r/>
            <w:r>
              <w:rPr>
                <w:rFonts w:ascii="Calibri" w:hAnsi="Calibri" w:eastAsia="Microsoft YaHei"/>
                <w:b w:val="0"/>
                <w:sz w:val="16"/>
              </w:rPr>
              <w:t>机制分析</w:t>
            </w:r>
          </w:p>
        </w:tc>
        <w:tc>
          <w:tcPr>
            <w:tcW w:type="dxa" w:w="2340"/>
            <w:vAlign w:val="center"/>
          </w:tcPr>
          <w:p>
            <w:pPr>
              <w:spacing w:before="0" w:after="0" w:line="252" w:lineRule="auto"/>
              <w:jc w:val="center"/>
            </w:pPr>
            <w:r/>
            <w:r>
              <w:rPr>
                <w:rFonts w:ascii="Calibri" w:hAnsi="Calibri" w:eastAsia="Microsoft YaHei"/>
                <w:b w:val="0"/>
                <w:sz w:val="16"/>
              </w:rPr>
              <w:t>消融、分层性能与偏置指标。</w:t>
            </w:r>
          </w:p>
        </w:tc>
        <w:tc>
          <w:tcPr>
            <w:tcW w:type="dxa" w:w="2340"/>
            <w:vAlign w:val="center"/>
          </w:tcPr>
          <w:p>
            <w:pPr>
              <w:spacing w:before="0" w:after="0" w:line="252" w:lineRule="auto"/>
              <w:jc w:val="left"/>
            </w:pPr>
            <w:r/>
            <w:r>
              <w:rPr>
                <w:rFonts w:ascii="Calibri" w:hAnsi="Calibri" w:eastAsia="Microsoft YaHei"/>
                <w:b w:val="0"/>
                <w:sz w:val="16"/>
              </w:rPr>
              <w:t>已完成 NeuMF 消融和流行度指标。</w:t>
            </w:r>
          </w:p>
        </w:tc>
        <w:tc>
          <w:tcPr>
            <w:tcW w:type="dxa" w:w="2340"/>
            <w:vAlign w:val="center"/>
          </w:tcPr>
          <w:p>
            <w:pPr>
              <w:spacing w:before="0" w:after="0" w:line="252" w:lineRule="auto"/>
              <w:jc w:val="center"/>
            </w:pPr>
            <w:r/>
            <w:r>
              <w:rPr>
                <w:rFonts w:ascii="Calibri" w:hAnsi="Calibri" w:eastAsia="Microsoft YaHei"/>
                <w:b w:val="0"/>
                <w:sz w:val="16"/>
              </w:rPr>
              <w:t>增强报告说服力。</w:t>
            </w:r>
          </w:p>
        </w:tc>
      </w:tr>
      <w:tr>
        <w:tc>
          <w:tcPr>
            <w:tcW w:type="dxa" w:w="2340"/>
            <w:vAlign w:val="center"/>
          </w:tcPr>
          <w:p>
            <w:pPr>
              <w:spacing w:before="0" w:after="0" w:line="252" w:lineRule="auto"/>
              <w:jc w:val="center"/>
            </w:pPr>
            <w:r/>
            <w:r>
              <w:rPr>
                <w:rFonts w:ascii="Calibri" w:hAnsi="Calibri" w:eastAsia="Microsoft YaHei"/>
                <w:b w:val="0"/>
                <w:sz w:val="16"/>
              </w:rPr>
              <w:t>五星创新</w:t>
            </w:r>
          </w:p>
        </w:tc>
        <w:tc>
          <w:tcPr>
            <w:tcW w:type="dxa" w:w="2340"/>
            <w:vAlign w:val="center"/>
          </w:tcPr>
          <w:p>
            <w:pPr>
              <w:spacing w:before="0" w:after="0" w:line="252" w:lineRule="auto"/>
              <w:jc w:val="center"/>
            </w:pPr>
            <w:r/>
            <w:r>
              <w:rPr>
                <w:rFonts w:ascii="Calibri" w:hAnsi="Calibri" w:eastAsia="Microsoft YaHei"/>
                <w:b w:val="0"/>
                <w:sz w:val="16"/>
              </w:rPr>
              <w:t>迁移到社交影响或 POI 场景。</w:t>
            </w:r>
          </w:p>
        </w:tc>
        <w:tc>
          <w:tcPr>
            <w:tcW w:type="dxa" w:w="2340"/>
            <w:vAlign w:val="center"/>
          </w:tcPr>
          <w:p>
            <w:pPr>
              <w:spacing w:before="0" w:after="0" w:line="252" w:lineRule="auto"/>
              <w:jc w:val="center"/>
            </w:pPr>
            <w:r/>
            <w:r>
              <w:rPr>
                <w:rFonts w:ascii="Calibri" w:hAnsi="Calibri" w:eastAsia="Microsoft YaHei"/>
                <w:b w:val="0"/>
                <w:sz w:val="16"/>
              </w:rPr>
              <w:t>未实施。</w:t>
            </w:r>
          </w:p>
        </w:tc>
        <w:tc>
          <w:tcPr>
            <w:tcW w:type="dxa" w:w="2340"/>
            <w:vAlign w:val="center"/>
          </w:tcPr>
          <w:p>
            <w:pPr>
              <w:spacing w:before="0" w:after="0" w:line="252" w:lineRule="auto"/>
              <w:jc w:val="center"/>
            </w:pPr>
            <w:r/>
            <w:r>
              <w:rPr>
                <w:rFonts w:ascii="Calibri" w:hAnsi="Calibri" w:eastAsia="Microsoft YaHei"/>
                <w:b w:val="0"/>
                <w:sz w:val="16"/>
              </w:rPr>
              <w:t>作为后续工作。</w:t>
            </w:r>
          </w:p>
        </w:tc>
      </w:tr>
    </w:tbl>
    <w:p>
      <w:pPr>
        <w:spacing w:before="0" w:after="40" w:line="264" w:lineRule="auto"/>
      </w:pPr>
      <w:r>
        <w:rPr>
          <w:rFonts w:ascii="Calibri" w:hAnsi="Calibri" w:eastAsia="Microsoft YaHei"/>
          <w:b w:val="0"/>
          <w:i w:val="0"/>
          <w:sz w:val="22"/>
        </w:rPr>
      </w:r>
    </w:p>
    <w:p>
      <w:pPr>
        <w:spacing w:after="120" w:line="264" w:lineRule="auto"/>
      </w:pPr>
      <w:r>
        <w:rPr>
          <w:rFonts w:ascii="Calibri" w:hAnsi="Calibri" w:eastAsia="Microsoft YaHei"/>
          <w:b w:val="0"/>
          <w:sz w:val="22"/>
        </w:rPr>
        <w:t>从完成度看，当前项目已经形成一个更完整的四星版本：有三星数据构造，有 NeuMF、NGCF、VAE 三类 backbone 替换，有 27 组主实验结果，有 4 组消融和偏置指标。iDICE 可以作为后续五星创新方向，但当前报告已经覆盖选题报告中提出的主要模型扩展路线。</w:t>
      </w:r>
    </w:p>
    <w:p>
      <w:pPr>
        <w:pStyle w:val="Heading1"/>
        <w:keepNext/>
      </w:pPr>
      <w:r>
        <w:rPr>
          <w:rFonts w:ascii="Calibri" w:hAnsi="Calibri" w:eastAsia="Microsoft YaHei"/>
          <w:b/>
          <w:color w:val="2E74B5"/>
          <w:sz w:val="32"/>
        </w:rPr>
        <w:t>9. 结论、局限与后续工作</w:t>
      </w:r>
    </w:p>
    <w:p>
      <w:pPr>
        <w:pStyle w:val="Heading2"/>
        <w:keepNext/>
      </w:pPr>
      <w:r>
        <w:rPr>
          <w:rFonts w:ascii="Calibri" w:hAnsi="Calibri" w:eastAsia="Microsoft YaHei"/>
          <w:b/>
          <w:color w:val="2E74B5"/>
          <w:sz w:val="26"/>
        </w:rPr>
        <w:t>9.1 结论</w:t>
      </w:r>
    </w:p>
    <w:p>
      <w:pPr>
        <w:pStyle w:val="ListNumber"/>
        <w:spacing w:after="80"/>
      </w:pPr>
      <w:r>
        <w:rPr>
          <w:rFonts w:ascii="Calibri" w:hAnsi="Calibri" w:eastAsia="Microsoft YaHei"/>
          <w:sz w:val="21"/>
        </w:rPr>
        <w:t>本项目完成了 DICE 论文的三星复现基础，重点重构了 Longtail、Uniform、Head 三类测试分布。</w:t>
      </w:r>
    </w:p>
    <w:p>
      <w:pPr>
        <w:pStyle w:val="ListNumber"/>
        <w:spacing w:after="80"/>
      </w:pPr>
      <w:r>
        <w:rPr>
          <w:rFonts w:ascii="Calibri" w:hAnsi="Calibri" w:eastAsia="Microsoft YaHei"/>
          <w:sz w:val="21"/>
        </w:rPr>
        <w:t>NeuMF-DICE 证明 DICE 可以迁移到非线性神经协同过滤模型，在 Longtail 场景下相对 NeuMF 有小幅提升。</w:t>
      </w:r>
    </w:p>
    <w:p>
      <w:pPr>
        <w:pStyle w:val="ListNumber"/>
        <w:spacing w:after="80"/>
      </w:pPr>
      <w:r>
        <w:rPr>
          <w:rFonts w:ascii="Calibri" w:hAnsi="Calibri" w:eastAsia="Microsoft YaHei"/>
          <w:sz w:val="21"/>
        </w:rPr>
        <w:t>NGCF-DICE 进一步证明 DICE 可以迁移到图协同过滤模型，在 Longtail 场景下相对 NGCF 的 Recall@20 提升约 27.0%。</w:t>
      </w:r>
    </w:p>
    <w:p>
      <w:pPr>
        <w:pStyle w:val="ListNumber"/>
        <w:spacing w:after="80"/>
      </w:pPr>
      <w:r>
        <w:rPr>
          <w:rFonts w:ascii="Calibri" w:hAnsi="Calibri" w:eastAsia="Microsoft YaHei"/>
          <w:sz w:val="21"/>
        </w:rPr>
        <w:t>VAE-DICE 证明 DICE 可以迁移到潜变量生成式推荐模型，在 Longtail 场景下相对 VAE 的 Recall@20 和 NDCG@20 均明显提升。</w:t>
      </w:r>
    </w:p>
    <w:p>
      <w:pPr>
        <w:pStyle w:val="ListNumber"/>
        <w:spacing w:after="80"/>
      </w:pPr>
      <w:r>
        <w:rPr>
          <w:rFonts w:ascii="Calibri" w:hAnsi="Calibri" w:eastAsia="Microsoft YaHei"/>
          <w:sz w:val="21"/>
        </w:rPr>
        <w:t>Uniform 和 Head 场景下去偏模型准确率下降，说明 DICE 的核心效果是削弱热门物品依赖，而不是全场景提高准确率。</w:t>
      </w:r>
    </w:p>
    <w:p>
      <w:pPr>
        <w:pStyle w:val="ListNumber"/>
        <w:spacing w:after="80"/>
      </w:pPr>
      <w:r>
        <w:rPr>
          <w:rFonts w:ascii="Calibri" w:hAnsi="Calibri" w:eastAsia="Microsoft YaHei"/>
          <w:sz w:val="21"/>
        </w:rPr>
        <w:t>消融实验表明 adaptive 训练有实际贡献，解耦强度需要平衡；过强约束会损害准确率，过弱或取消约束则可能重新依赖热门物品。</w:t>
      </w:r>
    </w:p>
    <w:p>
      <w:pPr>
        <w:pStyle w:val="Heading2"/>
        <w:keepNext/>
      </w:pPr>
      <w:r>
        <w:rPr>
          <w:rFonts w:ascii="Calibri" w:hAnsi="Calibri" w:eastAsia="Microsoft YaHei"/>
          <w:b/>
          <w:color w:val="2E74B5"/>
          <w:sz w:val="26"/>
        </w:rPr>
        <w:t>9.2 局限性</w:t>
      </w:r>
    </w:p>
    <w:p>
      <w:pPr>
        <w:pStyle w:val="ListBullet"/>
        <w:spacing w:after="80"/>
      </w:pPr>
      <w:r>
        <w:rPr>
          <w:rFonts w:ascii="Calibri" w:hAnsi="Calibri" w:eastAsia="Microsoft YaHei"/>
          <w:sz w:val="21"/>
        </w:rPr>
        <w:t>NGCF 部分目前主要报告准确率指标，尚未额外生成推荐列表并计算 AvgPop、Coverage 等去偏指标。</w:t>
      </w:r>
    </w:p>
    <w:p>
      <w:pPr>
        <w:pStyle w:val="ListBullet"/>
        <w:spacing w:after="80"/>
      </w:pPr>
      <w:r>
        <w:rPr>
          <w:rFonts w:ascii="Calibri" w:hAnsi="Calibri" w:eastAsia="Microsoft YaHei"/>
          <w:sz w:val="21"/>
        </w:rPr>
        <w:t>VAE 部分目前主要报告准确率指标，尚未额外生成推荐列表并计算 AvgPop、Coverage 等去偏指标。</w:t>
      </w:r>
    </w:p>
    <w:p>
      <w:pPr>
        <w:pStyle w:val="ListBullet"/>
        <w:spacing w:after="80"/>
      </w:pPr>
      <w:r>
        <w:rPr>
          <w:rFonts w:ascii="Calibri" w:hAnsi="Calibri" w:eastAsia="Microsoft YaHei"/>
          <w:sz w:val="21"/>
        </w:rPr>
        <w:t>所有结果基于单次训练运行，未进行多随机种子均值和方差统计。</w:t>
      </w:r>
    </w:p>
    <w:p>
      <w:pPr>
        <w:pStyle w:val="ListBullet"/>
        <w:spacing w:after="80"/>
      </w:pPr>
      <w:r>
        <w:rPr>
          <w:rFonts w:ascii="Calibri" w:hAnsi="Calibri" w:eastAsia="Microsoft YaHei"/>
          <w:sz w:val="21"/>
        </w:rPr>
        <w:t>当前项目仍围绕流行度偏差，尚未扩展到社交影响、地理位置偏差等更复杂场景。</w:t>
      </w:r>
    </w:p>
    <w:p>
      <w:pPr>
        <w:pStyle w:val="Heading2"/>
        <w:keepNext/>
      </w:pPr>
      <w:r>
        <w:rPr>
          <w:rFonts w:ascii="Calibri" w:hAnsi="Calibri" w:eastAsia="Microsoft YaHei"/>
          <w:b/>
          <w:color w:val="2E74B5"/>
          <w:sz w:val="26"/>
        </w:rPr>
        <w:t>9.3 后续工作</w:t>
      </w:r>
    </w:p>
    <w:p>
      <w:pPr>
        <w:spacing w:after="120" w:line="264" w:lineRule="auto"/>
      </w:pPr>
      <w:r>
        <w:rPr>
          <w:rFonts w:ascii="Calibri" w:hAnsi="Calibri" w:eastAsia="Microsoft YaHei"/>
          <w:b w:val="0"/>
          <w:sz w:val="22"/>
        </w:rPr>
        <w:t>若继续冲击更高评分，可以优先补充 NGCF 与 VAE 推荐列表的流行度指标，进一步做不同随机种子下的稳定性检验。更进一步，可以参考选题报告中提到的 iDICE 思路，引入 social influence 分支，将用户行为拆解为 interest、conformity 和 social influence 三类因素，从流行度去偏扩展到社交推荐解耦。</w:t>
      </w:r>
    </w:p>
    <w:p>
      <w:pPr>
        <w:pStyle w:val="Heading1"/>
        <w:keepNext/>
      </w:pPr>
      <w:r>
        <w:rPr>
          <w:rFonts w:ascii="Calibri" w:hAnsi="Calibri" w:eastAsia="Microsoft YaHei"/>
          <w:b/>
          <w:color w:val="2E74B5"/>
          <w:sz w:val="32"/>
        </w:rPr>
        <w:t>10. 附录：运行环境与材料清单</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shd w:fill="E8EEF5"/>
          </w:tcPr>
          <w:p>
            <w:pPr>
              <w:spacing w:before="0" w:after="0" w:line="252" w:lineRule="auto"/>
              <w:jc w:val="center"/>
            </w:pPr>
            <w:r/>
            <w:r>
              <w:rPr>
                <w:rFonts w:ascii="Calibri" w:hAnsi="Calibri" w:eastAsia="Microsoft YaHei"/>
                <w:b/>
                <w:sz w:val="17"/>
              </w:rPr>
              <w:t>类别</w:t>
            </w:r>
          </w:p>
        </w:tc>
        <w:tc>
          <w:tcPr>
            <w:tcW w:type="dxa" w:w="4680"/>
            <w:vAlign w:val="center"/>
            <w:shd w:fill="E8EEF5"/>
          </w:tcPr>
          <w:p>
            <w:pPr>
              <w:spacing w:before="0" w:after="0" w:line="252" w:lineRule="auto"/>
              <w:jc w:val="center"/>
            </w:pPr>
            <w:r/>
            <w:r>
              <w:rPr>
                <w:rFonts w:ascii="Calibri" w:hAnsi="Calibri" w:eastAsia="Microsoft YaHei"/>
                <w:b/>
                <w:sz w:val="17"/>
              </w:rPr>
              <w:t>内容</w:t>
            </w:r>
          </w:p>
        </w:tc>
      </w:tr>
      <w:tr>
        <w:tc>
          <w:tcPr>
            <w:tcW w:type="dxa" w:w="4680"/>
            <w:vAlign w:val="center"/>
          </w:tcPr>
          <w:p>
            <w:pPr>
              <w:spacing w:before="0" w:after="0" w:line="252" w:lineRule="auto"/>
              <w:jc w:val="center"/>
            </w:pPr>
            <w:r/>
            <w:r>
              <w:rPr>
                <w:rFonts w:ascii="Calibri" w:hAnsi="Calibri" w:eastAsia="Microsoft YaHei"/>
                <w:b w:val="0"/>
                <w:sz w:val="16"/>
              </w:rPr>
              <w:t>本地项目目录</w:t>
            </w:r>
          </w:p>
        </w:tc>
        <w:tc>
          <w:tcPr>
            <w:tcW w:type="dxa" w:w="4680"/>
            <w:vAlign w:val="center"/>
          </w:tcPr>
          <w:p>
            <w:pPr>
              <w:spacing w:before="0" w:after="0" w:line="252" w:lineRule="auto"/>
              <w:jc w:val="center"/>
            </w:pPr>
            <w:r/>
            <w:r>
              <w:rPr>
                <w:rFonts w:ascii="Calibri" w:hAnsi="Calibri" w:eastAsia="Microsoft YaHei"/>
                <w:b w:val="0"/>
                <w:sz w:val="16"/>
              </w:rPr>
              <w:t>D:\codex\智能商务\DICE</w:t>
            </w:r>
          </w:p>
        </w:tc>
      </w:tr>
      <w:tr>
        <w:tc>
          <w:tcPr>
            <w:tcW w:type="dxa" w:w="4680"/>
            <w:vAlign w:val="center"/>
          </w:tcPr>
          <w:p>
            <w:pPr>
              <w:spacing w:before="0" w:after="0" w:line="252" w:lineRule="auto"/>
              <w:jc w:val="center"/>
            </w:pPr>
            <w:r/>
            <w:r>
              <w:rPr>
                <w:rFonts w:ascii="Calibri" w:hAnsi="Calibri" w:eastAsia="Microsoft YaHei"/>
                <w:b w:val="0"/>
                <w:sz w:val="16"/>
              </w:rPr>
              <w:t>输出目录</w:t>
            </w:r>
          </w:p>
        </w:tc>
        <w:tc>
          <w:tcPr>
            <w:tcW w:type="dxa" w:w="4680"/>
            <w:vAlign w:val="center"/>
          </w:tcPr>
          <w:p>
            <w:pPr>
              <w:spacing w:before="0" w:after="0" w:line="252" w:lineRule="auto"/>
              <w:jc w:val="left"/>
            </w:pPr>
            <w:r/>
            <w:r>
              <w:rPr>
                <w:rFonts w:ascii="Calibri" w:hAnsi="Calibri" w:eastAsia="Microsoft YaHei"/>
                <w:b w:val="0"/>
                <w:sz w:val="16"/>
              </w:rPr>
              <w:t>D:\codex\智能商务\outputs</w:t>
            </w:r>
          </w:p>
        </w:tc>
      </w:tr>
      <w:tr>
        <w:tc>
          <w:tcPr>
            <w:tcW w:type="dxa" w:w="4680"/>
            <w:vAlign w:val="center"/>
          </w:tcPr>
          <w:p>
            <w:pPr>
              <w:spacing w:before="0" w:after="0" w:line="252" w:lineRule="auto"/>
              <w:jc w:val="center"/>
            </w:pPr>
            <w:r/>
            <w:r>
              <w:rPr>
                <w:rFonts w:ascii="Calibri" w:hAnsi="Calibri" w:eastAsia="Microsoft YaHei"/>
                <w:b w:val="0"/>
                <w:sz w:val="16"/>
              </w:rPr>
              <w:t>NeuMF 报告材料</w:t>
            </w:r>
          </w:p>
        </w:tc>
        <w:tc>
          <w:tcPr>
            <w:tcW w:type="dxa" w:w="4680"/>
            <w:vAlign w:val="center"/>
          </w:tcPr>
          <w:p>
            <w:pPr>
              <w:spacing w:before="0" w:after="0" w:line="252" w:lineRule="auto"/>
              <w:jc w:val="left"/>
            </w:pPr>
            <w:r/>
            <w:r>
              <w:rPr>
                <w:rFonts w:ascii="Calibri" w:hAnsi="Calibri" w:eastAsia="Microsoft YaHei"/>
                <w:b w:val="0"/>
                <w:sz w:val="16"/>
              </w:rPr>
              <w:t>D:\codex\智能商务\outputs\report</w:t>
            </w:r>
          </w:p>
        </w:tc>
      </w:tr>
      <w:tr>
        <w:tc>
          <w:tcPr>
            <w:tcW w:type="dxa" w:w="4680"/>
            <w:vAlign w:val="center"/>
          </w:tcPr>
          <w:p>
            <w:pPr>
              <w:spacing w:before="0" w:after="0" w:line="252" w:lineRule="auto"/>
              <w:jc w:val="center"/>
            </w:pPr>
            <w:r/>
            <w:r>
              <w:rPr>
                <w:rFonts w:ascii="Calibri" w:hAnsi="Calibri" w:eastAsia="Microsoft YaHei"/>
                <w:b w:val="0"/>
                <w:sz w:val="16"/>
              </w:rPr>
              <w:t>NGCF 结果目录</w:t>
            </w:r>
          </w:p>
        </w:tc>
        <w:tc>
          <w:tcPr>
            <w:tcW w:type="dxa" w:w="4680"/>
            <w:vAlign w:val="center"/>
          </w:tcPr>
          <w:p>
            <w:pPr>
              <w:spacing w:before="0" w:after="0" w:line="252" w:lineRule="auto"/>
              <w:jc w:val="left"/>
            </w:pPr>
            <w:r/>
            <w:r>
              <w:rPr>
                <w:rFonts w:ascii="Calibri" w:hAnsi="Calibri" w:eastAsia="Microsoft YaHei"/>
                <w:b w:val="0"/>
                <w:sz w:val="16"/>
              </w:rPr>
              <w:t>D:\codex\智能商务\outputs\ngcf_full_50</w:t>
            </w:r>
          </w:p>
        </w:tc>
      </w:tr>
      <w:tr>
        <w:tc>
          <w:tcPr>
            <w:tcW w:type="dxa" w:w="4680"/>
            <w:vAlign w:val="center"/>
          </w:tcPr>
          <w:p>
            <w:pPr>
              <w:spacing w:before="0" w:after="0" w:line="252" w:lineRule="auto"/>
              <w:jc w:val="center"/>
            </w:pPr>
            <w:r/>
            <w:r>
              <w:rPr>
                <w:rFonts w:ascii="Calibri" w:hAnsi="Calibri" w:eastAsia="Microsoft YaHei"/>
                <w:b w:val="0"/>
                <w:sz w:val="16"/>
              </w:rPr>
              <w:t>VAE 结果目录</w:t>
            </w:r>
          </w:p>
        </w:tc>
        <w:tc>
          <w:tcPr>
            <w:tcW w:type="dxa" w:w="4680"/>
            <w:vAlign w:val="center"/>
          </w:tcPr>
          <w:p>
            <w:pPr>
              <w:spacing w:before="0" w:after="0" w:line="252" w:lineRule="auto"/>
              <w:jc w:val="left"/>
            </w:pPr>
            <w:r/>
            <w:r>
              <w:rPr>
                <w:rFonts w:ascii="Calibri" w:hAnsi="Calibri" w:eastAsia="Microsoft YaHei"/>
                <w:b w:val="0"/>
                <w:sz w:val="16"/>
              </w:rPr>
              <w:t>D:\codex\智能商务\outputs\vae_full_50</w:t>
            </w:r>
          </w:p>
        </w:tc>
      </w:tr>
      <w:tr>
        <w:tc>
          <w:tcPr>
            <w:tcW w:type="dxa" w:w="4680"/>
            <w:vAlign w:val="center"/>
          </w:tcPr>
          <w:p>
            <w:pPr>
              <w:spacing w:before="0" w:after="0" w:line="252" w:lineRule="auto"/>
              <w:jc w:val="center"/>
            </w:pPr>
            <w:r/>
            <w:r>
              <w:rPr>
                <w:rFonts w:ascii="Calibri" w:hAnsi="Calibri" w:eastAsia="Microsoft YaHei"/>
                <w:b w:val="0"/>
                <w:sz w:val="16"/>
              </w:rPr>
              <w:t>消融结果目录</w:t>
            </w:r>
          </w:p>
        </w:tc>
        <w:tc>
          <w:tcPr>
            <w:tcW w:type="dxa" w:w="4680"/>
            <w:vAlign w:val="center"/>
          </w:tcPr>
          <w:p>
            <w:pPr>
              <w:spacing w:before="0" w:after="0" w:line="252" w:lineRule="auto"/>
              <w:jc w:val="left"/>
            </w:pPr>
            <w:r/>
            <w:r>
              <w:rPr>
                <w:rFonts w:ascii="Calibri" w:hAnsi="Calibri" w:eastAsia="Microsoft YaHei"/>
                <w:b w:val="0"/>
                <w:sz w:val="16"/>
              </w:rPr>
              <w:t>D:\codex\智能商务\outputs\ablation_4</w:t>
            </w:r>
          </w:p>
        </w:tc>
      </w:tr>
      <w:tr>
        <w:tc>
          <w:tcPr>
            <w:tcW w:type="dxa" w:w="4680"/>
            <w:vAlign w:val="center"/>
          </w:tcPr>
          <w:p>
            <w:pPr>
              <w:spacing w:before="0" w:after="0" w:line="252" w:lineRule="auto"/>
              <w:jc w:val="center"/>
            </w:pPr>
            <w:r/>
            <w:r>
              <w:rPr>
                <w:rFonts w:ascii="Calibri" w:hAnsi="Calibri" w:eastAsia="Microsoft YaHei"/>
                <w:b w:val="0"/>
                <w:sz w:val="16"/>
              </w:rPr>
              <w:t>远程训练环境</w:t>
            </w:r>
          </w:p>
        </w:tc>
        <w:tc>
          <w:tcPr>
            <w:tcW w:type="dxa" w:w="4680"/>
            <w:vAlign w:val="center"/>
          </w:tcPr>
          <w:p>
            <w:pPr>
              <w:spacing w:before="0" w:after="0" w:line="252" w:lineRule="auto"/>
              <w:jc w:val="left"/>
            </w:pPr>
            <w:r/>
            <w:r>
              <w:rPr>
                <w:rFonts w:ascii="Calibri" w:hAnsi="Calibri" w:eastAsia="Microsoft YaHei"/>
                <w:b w:val="0"/>
                <w:sz w:val="16"/>
              </w:rPr>
              <w:t>RTX 4090 / CUDA 环境；训练结束后已关机。</w:t>
            </w:r>
          </w:p>
        </w:tc>
      </w:tr>
    </w:tbl>
    <w:p>
      <w:pPr>
        <w:spacing w:before="0" w:after="40" w:line="264" w:lineRule="auto"/>
      </w:pPr>
      <w:r>
        <w:rPr>
          <w:rFonts w:ascii="Calibri" w:hAnsi="Calibri" w:eastAsia="Microsoft YaHei"/>
          <w:b w:val="0"/>
          <w:i w:val="0"/>
          <w:sz w:val="22"/>
        </w:rPr>
      </w:r>
    </w:p>
    <w:p>
      <w:pPr>
        <w:spacing w:after="120" w:line="264" w:lineRule="auto"/>
      </w:pPr>
      <w:r>
        <w:rPr>
          <w:rFonts w:ascii="Calibri" w:hAnsi="Calibri" w:eastAsia="Microsoft YaHei"/>
          <w:b w:val="0"/>
          <w:sz w:val="22"/>
        </w:rPr>
        <w:t>主要输出文件包括：NeuMF 四星扩展报告、NGCF 九组实验指标 CSV、NGCF 扩展分析 Markdown、VAE 九组实验指标 CSV、VAE 扩展分析 Markdown、消融准确率 CSV、消融流行度指标 CSV 和本研究复现报告。</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A5A5A"/>
        <w:sz w:val="18"/>
      </w:rPr>
      <w:t>DICE 研究复现报告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5A5A5A"/>
        <w:sz w:val="18"/>
      </w:rPr>
      <w:t>智能商务期末作业 | DICE 研究复现报告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