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A062D0">
      <w:pPr>
        <w:jc w:val="both"/>
        <w:rPr>
          <w:rFonts w:hint="eastAsia" w:ascii="黑体" w:hAnsi="黑体" w:eastAsia="黑体" w:cs="黑体"/>
          <w:b/>
          <w:bCs/>
          <w:sz w:val="44"/>
          <w:szCs w:val="44"/>
        </w:rPr>
      </w:pPr>
    </w:p>
    <w:p w14:paraId="41C21EDA">
      <w:pPr>
        <w:jc w:val="both"/>
      </w:pPr>
      <w:r>
        <w:rPr>
          <w:rFonts w:hint="eastAsia" w:ascii="黑体" w:hAnsi="黑体" w:eastAsia="黑体" w:cs="黑体"/>
          <w:b/>
          <w:bCs/>
          <w:sz w:val="44"/>
          <w:szCs w:val="44"/>
        </w:rPr>
        <w:t>当升科技内部轮岗与激励机制建设咨询方案</w:t>
      </w:r>
    </w:p>
    <w:p w14:paraId="6A39FBC7">
      <w:pPr>
        <w:pStyle w:val="4"/>
        <w:ind w:firstLine="560" w:firstLineChars="200"/>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一、项目背景与需求理解</w:t>
      </w:r>
    </w:p>
    <w:p w14:paraId="338034C9">
      <w:pPr>
        <w:pStyle w:val="5"/>
        <w:keepNext/>
        <w:keepLines/>
        <w:pageBreakBefore w:val="0"/>
        <w:widowControl/>
        <w:kinsoku/>
        <w:wordWrap/>
        <w:overflowPunct/>
        <w:topLinePunct w:val="0"/>
        <w:autoSpaceDE/>
        <w:autoSpaceDN/>
        <w:bidi w:val="0"/>
        <w:adjustRightInd/>
        <w:snapToGrid/>
        <w:spacing w:before="0" w:line="520" w:lineRule="exact"/>
        <w:ind w:firstLine="560" w:firstLineChars="200"/>
        <w:textAlignment w:val="auto"/>
        <w:rPr>
          <w:rFonts w:hint="eastAsia" w:ascii="仿宋" w:hAnsi="仿宋" w:eastAsia="仿宋" w:cs="仿宋"/>
          <w:b w:val="0"/>
          <w:bCs w:val="0"/>
          <w:color w:val="auto"/>
          <w:sz w:val="28"/>
          <w:szCs w:val="28"/>
        </w:rPr>
      </w:pP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lang w:val="en-US" w:eastAsia="zh-CN"/>
        </w:rPr>
        <w:t>一</w:t>
      </w: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rPr>
        <w:t>战略总纲：当升科技"领导力建设三年行动"</w:t>
      </w:r>
    </w:p>
    <w:p w14:paraId="77D6A933">
      <w:pPr>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2026-2028年，当升科技以</w:t>
      </w:r>
      <w:r>
        <w:rPr>
          <w:rFonts w:hint="eastAsia" w:ascii="仿宋" w:hAnsi="仿宋" w:eastAsia="仿宋" w:cs="仿宋"/>
          <w:b/>
          <w:i w:val="0"/>
          <w:sz w:val="28"/>
          <w:szCs w:val="28"/>
        </w:rPr>
        <w:t>"干部四大职责、三大关键能力"</w:t>
      </w:r>
      <w:r>
        <w:rPr>
          <w:rFonts w:hint="eastAsia" w:ascii="仿宋" w:hAnsi="仿宋" w:eastAsia="仿宋" w:cs="仿宋"/>
          <w:sz w:val="28"/>
          <w:szCs w:val="28"/>
        </w:rPr>
        <w:t>为指引，系统构建人才团队、组织系统、动力机制、企业文化，全面提升组织能力。</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3"/>
        <w:gridCol w:w="3957"/>
        <w:gridCol w:w="3310"/>
      </w:tblGrid>
      <w:tr w14:paraId="14166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4" w:hRule="atLeast"/>
          <w:jc w:val="center"/>
        </w:trPr>
        <w:tc>
          <w:tcPr>
            <w:tcW w:w="1373" w:type="dxa"/>
            <w:vAlign w:val="center"/>
          </w:tcPr>
          <w:p w14:paraId="16AA4A3F">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四大职责</w:t>
            </w:r>
          </w:p>
        </w:tc>
        <w:tc>
          <w:tcPr>
            <w:tcW w:w="3957" w:type="dxa"/>
            <w:vAlign w:val="center"/>
          </w:tcPr>
          <w:p w14:paraId="10314BBE">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核心内涵（三年行动原文）</w:t>
            </w:r>
          </w:p>
        </w:tc>
        <w:tc>
          <w:tcPr>
            <w:tcW w:w="3310" w:type="dxa"/>
            <w:vAlign w:val="center"/>
          </w:tcPr>
          <w:p w14:paraId="1E84DB65">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轮岗制度如何承载</w:t>
            </w:r>
          </w:p>
        </w:tc>
      </w:tr>
      <w:tr w14:paraId="13A45A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Align w:val="center"/>
          </w:tcPr>
          <w:p w14:paraId="71078851">
            <w:pPr>
              <w:spacing w:after="0" w:line="240" w:lineRule="auto"/>
              <w:jc w:val="both"/>
              <w:rPr>
                <w:rFonts w:hint="eastAsia" w:ascii="仿宋" w:hAnsi="仿宋" w:eastAsia="仿宋" w:cs="仿宋"/>
                <w:b w:val="0"/>
                <w:i w:val="0"/>
                <w:sz w:val="24"/>
                <w:szCs w:val="24"/>
              </w:rPr>
            </w:pPr>
            <w:r>
              <w:rPr>
                <w:rFonts w:hint="eastAsia" w:ascii="仿宋" w:hAnsi="仿宋" w:eastAsia="仿宋" w:cs="仿宋"/>
                <w:b/>
                <w:i w:val="0"/>
                <w:sz w:val="24"/>
                <w:szCs w:val="24"/>
              </w:rPr>
              <w:t>建组织</w:t>
            </w:r>
            <w:r>
              <w:rPr>
                <w:rFonts w:hint="eastAsia" w:ascii="仿宋" w:hAnsi="仿宋" w:eastAsia="仿宋" w:cs="仿宋"/>
                <w:b w:val="0"/>
                <w:i w:val="0"/>
                <w:sz w:val="24"/>
                <w:szCs w:val="24"/>
              </w:rPr>
              <w:t xml:space="preserve"> </w:t>
            </w:r>
          </w:p>
          <w:p w14:paraId="170BEB6E">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 定位、架构、资源、文化</w:t>
            </w:r>
          </w:p>
        </w:tc>
        <w:tc>
          <w:tcPr>
            <w:tcW w:w="3957" w:type="dxa"/>
            <w:vAlign w:val="center"/>
          </w:tcPr>
          <w:p w14:paraId="203DBAB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明确组织在战略中的角色与价值方向；设计高效协同的组织结构；合理配置人财物资源；塑造支撑战略执行的共同价值观与行为规范</w:t>
            </w:r>
          </w:p>
        </w:tc>
        <w:tc>
          <w:tcPr>
            <w:tcW w:w="3310" w:type="dxa"/>
            <w:vAlign w:val="center"/>
          </w:tcPr>
          <w:p w14:paraId="0FCC126F">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通过轮岗路径规划，回答"什么人、什么阶段、到什么地方、解决什么问题"，使人才配置服务于组织架构演进</w:t>
            </w:r>
          </w:p>
        </w:tc>
      </w:tr>
      <w:tr w14:paraId="04F431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Align w:val="center"/>
          </w:tcPr>
          <w:p w14:paraId="5AA6470F">
            <w:pPr>
              <w:spacing w:after="0" w:line="240" w:lineRule="auto"/>
              <w:jc w:val="both"/>
              <w:rPr>
                <w:rFonts w:hint="eastAsia" w:ascii="仿宋" w:hAnsi="仿宋" w:eastAsia="仿宋" w:cs="仿宋"/>
                <w:b w:val="0"/>
                <w:i w:val="0"/>
                <w:sz w:val="24"/>
                <w:szCs w:val="24"/>
              </w:rPr>
            </w:pPr>
            <w:r>
              <w:rPr>
                <w:rFonts w:hint="eastAsia" w:ascii="仿宋" w:hAnsi="仿宋" w:eastAsia="仿宋" w:cs="仿宋"/>
                <w:b/>
                <w:i w:val="0"/>
                <w:sz w:val="24"/>
                <w:szCs w:val="24"/>
              </w:rPr>
              <w:t>搭流程</w:t>
            </w:r>
            <w:r>
              <w:rPr>
                <w:rFonts w:hint="eastAsia" w:ascii="仿宋" w:hAnsi="仿宋" w:eastAsia="仿宋" w:cs="仿宋"/>
                <w:b w:val="0"/>
                <w:i w:val="0"/>
                <w:sz w:val="24"/>
                <w:szCs w:val="24"/>
              </w:rPr>
              <w:t xml:space="preserve"> </w:t>
            </w:r>
          </w:p>
          <w:p w14:paraId="752511BC">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 机制、制度、流程、方法、工具</w:t>
            </w:r>
          </w:p>
        </w:tc>
        <w:tc>
          <w:tcPr>
            <w:tcW w:w="3957" w:type="dxa"/>
            <w:vAlign w:val="center"/>
          </w:tcPr>
          <w:p w14:paraId="1CD32E1A">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建立标准化运作规则与互动模式；制定约束力规范性文件；梳理端到端核心业务活动顺序；总结推广实践技术；开发标准化辅助手段</w:t>
            </w:r>
          </w:p>
        </w:tc>
        <w:tc>
          <w:tcPr>
            <w:tcW w:w="3310" w:type="dxa"/>
            <w:vAlign w:val="center"/>
          </w:tcPr>
          <w:p w14:paraId="255197B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轮岗制度本身即是"流程"建设——将人才流动从一事一议的临时决策，升级为标准化的运作规则</w:t>
            </w:r>
          </w:p>
        </w:tc>
      </w:tr>
      <w:tr w14:paraId="54450D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Align w:val="center"/>
          </w:tcPr>
          <w:p w14:paraId="0A3D62AE">
            <w:pPr>
              <w:spacing w:after="0" w:line="240" w:lineRule="auto"/>
              <w:jc w:val="both"/>
              <w:rPr>
                <w:rFonts w:hint="eastAsia" w:ascii="仿宋" w:hAnsi="仿宋" w:eastAsia="仿宋" w:cs="仿宋"/>
                <w:b w:val="0"/>
                <w:i w:val="0"/>
                <w:sz w:val="24"/>
                <w:szCs w:val="24"/>
              </w:rPr>
            </w:pPr>
            <w:r>
              <w:rPr>
                <w:rFonts w:hint="eastAsia" w:ascii="仿宋" w:hAnsi="仿宋" w:eastAsia="仿宋" w:cs="仿宋"/>
                <w:b/>
                <w:i w:val="0"/>
                <w:sz w:val="24"/>
                <w:szCs w:val="24"/>
              </w:rPr>
              <w:t>带队伍</w:t>
            </w:r>
            <w:r>
              <w:rPr>
                <w:rFonts w:hint="eastAsia" w:ascii="仿宋" w:hAnsi="仿宋" w:eastAsia="仿宋" w:cs="仿宋"/>
                <w:b w:val="0"/>
                <w:i w:val="0"/>
                <w:sz w:val="24"/>
                <w:szCs w:val="24"/>
              </w:rPr>
              <w:t xml:space="preserve"> </w:t>
            </w:r>
          </w:p>
          <w:p w14:paraId="6563C8DE">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 梯队、人才</w:t>
            </w:r>
          </w:p>
        </w:tc>
        <w:tc>
          <w:tcPr>
            <w:tcW w:w="3957" w:type="dxa"/>
            <w:vAlign w:val="center"/>
          </w:tcPr>
          <w:p w14:paraId="7997E558">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构建层次清晰、衔接有序的后备人才储备体系；通过选拔、培养与发展，提升团队成员专业能力与潜力</w:t>
            </w:r>
          </w:p>
        </w:tc>
        <w:tc>
          <w:tcPr>
            <w:tcW w:w="3310" w:type="dxa"/>
            <w:vAlign w:val="center"/>
          </w:tcPr>
          <w:p w14:paraId="6DCA40D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轮岗是后备干部培养的核心手段——进入轮岗池即进入后备梯队，跨部门经历即能力横向拓展，海外历练即国际化人才储备</w:t>
            </w:r>
          </w:p>
        </w:tc>
      </w:tr>
      <w:tr w14:paraId="0D77D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73" w:type="dxa"/>
            <w:vAlign w:val="center"/>
          </w:tcPr>
          <w:p w14:paraId="7D9DD82F">
            <w:pPr>
              <w:spacing w:after="0" w:line="240" w:lineRule="auto"/>
              <w:jc w:val="both"/>
              <w:rPr>
                <w:rFonts w:hint="eastAsia" w:ascii="仿宋" w:hAnsi="仿宋" w:eastAsia="仿宋" w:cs="仿宋"/>
                <w:sz w:val="24"/>
                <w:szCs w:val="24"/>
              </w:rPr>
            </w:pPr>
            <w:r>
              <w:rPr>
                <w:rFonts w:hint="eastAsia" w:ascii="仿宋" w:hAnsi="仿宋" w:eastAsia="仿宋" w:cs="仿宋"/>
                <w:b/>
                <w:i w:val="0"/>
                <w:sz w:val="24"/>
                <w:szCs w:val="24"/>
              </w:rPr>
              <w:t>做业绩</w:t>
            </w:r>
            <w:r>
              <w:rPr>
                <w:rFonts w:hint="eastAsia" w:ascii="仿宋" w:hAnsi="仿宋" w:eastAsia="仿宋" w:cs="仿宋"/>
                <w:b w:val="0"/>
                <w:i w:val="0"/>
                <w:sz w:val="24"/>
                <w:szCs w:val="24"/>
              </w:rPr>
              <w:t xml:space="preserve"> — 战略、计划、执行、考核、激励</w:t>
            </w:r>
          </w:p>
        </w:tc>
        <w:tc>
          <w:tcPr>
            <w:tcW w:w="3957" w:type="dxa"/>
            <w:vAlign w:val="center"/>
          </w:tcPr>
          <w:p w14:paraId="3D015F59">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制定清晰长期发展目标与竞争策略；将战略分解为可执行的具体行动方案；推动计划落地确保高效完成；定期评估工作成果与绩效；依据考核结果实施奖励与激发措施</w:t>
            </w:r>
          </w:p>
        </w:tc>
        <w:tc>
          <w:tcPr>
            <w:tcW w:w="3310" w:type="dxa"/>
            <w:vAlign w:val="center"/>
          </w:tcPr>
          <w:p w14:paraId="355396DC">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轮岗制度的设计闭环（选拔→流动→考核→激励→晋升）直接回应"攻山头、打胜仗、练队伍"——把合适的人在合适的时间派到最需要的战场</w:t>
            </w:r>
          </w:p>
        </w:tc>
      </w:tr>
    </w:tbl>
    <w:p w14:paraId="612FE777">
      <w:pPr>
        <w:keepNext w:val="0"/>
        <w:keepLines w:val="0"/>
        <w:pageBreakBefore w:val="0"/>
        <w:widowControl/>
        <w:kinsoku/>
        <w:wordWrap/>
        <w:overflowPunct/>
        <w:topLinePunct w:val="0"/>
        <w:autoSpaceDE/>
        <w:autoSpaceDN/>
        <w:bidi w:val="0"/>
        <w:adjustRightInd/>
        <w:snapToGrid/>
        <w:spacing w:before="181" w:beforeLines="50"/>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定位：</w:t>
      </w:r>
      <w:r>
        <w:rPr>
          <w:rFonts w:hint="eastAsia" w:ascii="仿宋" w:hAnsi="仿宋" w:eastAsia="仿宋" w:cs="仿宋"/>
          <w:b/>
          <w:i w:val="0"/>
          <w:sz w:val="28"/>
          <w:szCs w:val="28"/>
        </w:rPr>
        <w:t>将"领导力建设三年行动"在人才流动维度制度化落地。</w:t>
      </w:r>
      <w:r>
        <w:rPr>
          <w:rFonts w:hint="eastAsia" w:ascii="仿宋" w:hAnsi="仿宋" w:eastAsia="仿宋" w:cs="仿宋"/>
          <w:sz w:val="28"/>
          <w:szCs w:val="28"/>
        </w:rPr>
        <w:t xml:space="preserve"> 不是独立的人力资源项目，而是三年行动的基础设施——先建立人才流动的规则底座，后续薪酬、绩效、继任计划才能在此基础上系统升级。</w:t>
      </w:r>
    </w:p>
    <w:p w14:paraId="0759F252">
      <w:pPr>
        <w:pStyle w:val="5"/>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color w:val="auto"/>
          <w:sz w:val="28"/>
          <w:szCs w:val="28"/>
        </w:rPr>
      </w:pP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lang w:val="en-US" w:eastAsia="zh-CN"/>
        </w:rPr>
        <w:t>二</w:t>
      </w: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rPr>
        <w:t>本项目解决的核心问题</w:t>
      </w:r>
    </w:p>
    <w:p w14:paraId="1ED72E7F">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轮岗制度的设计不是从零开始的理论推演，而是对一系列实际问题的系统性回应。以下问题将在D1诊断阶段通过分层访谈与数据分析逐一厘清，当前阶段呈现的是制度设计需要覆盖的核心议题方向：</w:t>
      </w:r>
    </w:p>
    <w:p w14:paraId="2C43FBD7">
      <w:pPr>
        <w:keepNext w:val="0"/>
        <w:keepLines w:val="0"/>
        <w:pageBreakBefore w:val="0"/>
        <w:widowControl/>
        <w:kinsoku/>
        <w:wordWrap/>
        <w:overflowPunct/>
        <w:topLinePunct w:val="0"/>
        <w:autoSpaceDE/>
        <w:autoSpaceDN/>
        <w:bidi w:val="0"/>
        <w:adjustRightInd/>
        <w:snapToGrid/>
        <w:spacing w:after="0" w:line="520" w:lineRule="exact"/>
        <w:ind w:firstLine="562" w:firstLineChars="200"/>
        <w:textAlignment w:val="auto"/>
        <w:rPr>
          <w:rFonts w:hint="eastAsia" w:ascii="仿宋" w:hAnsi="仿宋" w:eastAsia="仿宋" w:cs="仿宋"/>
          <w:sz w:val="28"/>
          <w:szCs w:val="28"/>
        </w:rPr>
      </w:pPr>
      <w:r>
        <w:rPr>
          <w:rFonts w:hint="eastAsia" w:ascii="仿宋" w:hAnsi="仿宋" w:eastAsia="仿宋" w:cs="仿宋"/>
          <w:b/>
          <w:i w:val="0"/>
          <w:sz w:val="28"/>
          <w:szCs w:val="28"/>
        </w:rPr>
        <w:t>制度层面</w:t>
      </w:r>
      <w:r>
        <w:rPr>
          <w:rFonts w:hint="eastAsia" w:ascii="仿宋" w:hAnsi="仿宋" w:eastAsia="仿宋" w:cs="仿宋"/>
          <w:sz w:val="28"/>
          <w:szCs w:val="28"/>
        </w:rPr>
        <w:t>：跨部门、跨层级、跨地域的人才流动，需要怎样的规则体系？不同价值岗位之间的轮岗——薪酬怎么定、回程怎么保障、晋升如何挂钩？</w:t>
      </w:r>
    </w:p>
    <w:p w14:paraId="44E3DD50">
      <w:pPr>
        <w:keepNext w:val="0"/>
        <w:keepLines w:val="0"/>
        <w:pageBreakBefore w:val="0"/>
        <w:widowControl/>
        <w:kinsoku/>
        <w:wordWrap/>
        <w:overflowPunct/>
        <w:topLinePunct w:val="0"/>
        <w:autoSpaceDE/>
        <w:autoSpaceDN/>
        <w:bidi w:val="0"/>
        <w:adjustRightInd/>
        <w:snapToGrid/>
        <w:spacing w:after="0" w:line="520" w:lineRule="exact"/>
        <w:ind w:firstLine="562" w:firstLineChars="200"/>
        <w:textAlignment w:val="auto"/>
        <w:rPr>
          <w:rFonts w:hint="eastAsia" w:ascii="仿宋" w:hAnsi="仿宋" w:eastAsia="仿宋" w:cs="仿宋"/>
          <w:sz w:val="28"/>
          <w:szCs w:val="28"/>
        </w:rPr>
      </w:pPr>
      <w:r>
        <w:rPr>
          <w:rFonts w:hint="eastAsia" w:ascii="仿宋" w:hAnsi="仿宋" w:eastAsia="仿宋" w:cs="仿宋"/>
          <w:b/>
          <w:i w:val="0"/>
          <w:sz w:val="28"/>
          <w:szCs w:val="28"/>
        </w:rPr>
        <w:t>激励层面</w:t>
      </w:r>
      <w:r>
        <w:rPr>
          <w:rFonts w:hint="eastAsia" w:ascii="仿宋" w:hAnsi="仿宋" w:eastAsia="仿宋" w:cs="仿宋"/>
          <w:sz w:val="28"/>
          <w:szCs w:val="28"/>
        </w:rPr>
        <w:t>：从单一基地到多基地+海外扩张，激励体系如何支撑跨地域、跨岗位的人才流动？如何形成"能流动、愿意流动、流动后能发展"的正向循环？</w:t>
      </w:r>
    </w:p>
    <w:p w14:paraId="66C0B18F">
      <w:pPr>
        <w:keepNext w:val="0"/>
        <w:keepLines w:val="0"/>
        <w:pageBreakBefore w:val="0"/>
        <w:widowControl/>
        <w:kinsoku/>
        <w:wordWrap/>
        <w:overflowPunct/>
        <w:topLinePunct w:val="0"/>
        <w:autoSpaceDE/>
        <w:autoSpaceDN/>
        <w:bidi w:val="0"/>
        <w:adjustRightInd/>
        <w:snapToGrid/>
        <w:spacing w:after="0" w:line="520" w:lineRule="exact"/>
        <w:ind w:firstLine="562" w:firstLineChars="200"/>
        <w:textAlignment w:val="auto"/>
        <w:rPr>
          <w:rFonts w:hint="eastAsia" w:ascii="仿宋" w:hAnsi="仿宋" w:eastAsia="仿宋" w:cs="仿宋"/>
          <w:sz w:val="28"/>
          <w:szCs w:val="28"/>
        </w:rPr>
      </w:pPr>
      <w:r>
        <w:rPr>
          <w:rFonts w:hint="eastAsia" w:ascii="仿宋" w:hAnsi="仿宋" w:eastAsia="仿宋" w:cs="仿宋"/>
          <w:b/>
          <w:i w:val="0"/>
          <w:sz w:val="28"/>
          <w:szCs w:val="28"/>
        </w:rPr>
        <w:t>人才储备层面</w:t>
      </w:r>
      <w:r>
        <w:rPr>
          <w:rFonts w:hint="eastAsia" w:ascii="仿宋" w:hAnsi="仿宋" w:eastAsia="仿宋" w:cs="仿宋"/>
          <w:sz w:val="28"/>
          <w:szCs w:val="28"/>
        </w:rPr>
        <w:t>：芬兰基地一期产线建设中，海外新基地持续规划中，国内多基地并行运营——业务扩张所需的人才从哪里来？国内抽调走的骨干空缺如何填补？</w:t>
      </w:r>
    </w:p>
    <w:p w14:paraId="43F274B4">
      <w:pPr>
        <w:pageBreakBefore w:val="0"/>
        <w:widowControl/>
        <w:kinsoku/>
        <w:wordWrap/>
        <w:overflowPunct/>
        <w:topLinePunct w:val="0"/>
        <w:autoSpaceDE/>
        <w:autoSpaceDN/>
        <w:bidi w:val="0"/>
        <w:adjustRightInd/>
        <w:snapToGrid/>
        <w:spacing w:line="520" w:lineRule="exact"/>
        <w:ind w:left="567"/>
        <w:textAlignment w:val="auto"/>
        <w:rPr>
          <w:rFonts w:hint="eastAsia" w:ascii="仿宋" w:hAnsi="仿宋" w:eastAsia="仿宋" w:cs="仿宋"/>
          <w:sz w:val="28"/>
          <w:szCs w:val="28"/>
        </w:rPr>
      </w:pPr>
      <w:r>
        <w:rPr>
          <w:rFonts w:hint="eastAsia" w:ascii="仿宋" w:hAnsi="仿宋" w:eastAsia="仿宋" w:cs="仿宋"/>
          <w:b w:val="0"/>
          <w:i/>
          <w:sz w:val="28"/>
          <w:szCs w:val="28"/>
        </w:rPr>
        <w:t>上述问题的具体答案，需在D1诊断完成后，基于访谈数据与当升科技实际业务场景得出。本方案后续各章节呈现的是制度设计的方法论框架与工作步骤，而非对上述问题的预判性结论。</w:t>
      </w:r>
    </w:p>
    <w:p w14:paraId="40C78DBA">
      <w:pPr>
        <w:pStyle w:val="5"/>
        <w:ind w:firstLine="560" w:firstLineChars="200"/>
        <w:rPr>
          <w:rFonts w:hint="eastAsia" w:ascii="仿宋" w:hAnsi="仿宋" w:eastAsia="仿宋" w:cs="仿宋"/>
          <w:b w:val="0"/>
          <w:bCs w:val="0"/>
          <w:color w:val="auto"/>
          <w:sz w:val="28"/>
          <w:szCs w:val="28"/>
        </w:rPr>
      </w:pP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lang w:val="en-US" w:eastAsia="zh-CN"/>
        </w:rPr>
        <w:t>三</w:t>
      </w: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rPr>
        <w:t>摩根优势：更快、更落地</w:t>
      </w:r>
    </w:p>
    <w:p w14:paraId="5AA81237">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i w:val="0"/>
          <w:sz w:val="28"/>
          <w:szCs w:val="28"/>
          <w:lang w:val="en-US" w:eastAsia="zh-CN"/>
        </w:rPr>
        <w:t>1、</w:t>
      </w:r>
      <w:r>
        <w:rPr>
          <w:rFonts w:hint="eastAsia" w:ascii="仿宋" w:hAnsi="仿宋" w:eastAsia="仿宋" w:cs="仿宋"/>
          <w:b w:val="0"/>
          <w:bCs/>
          <w:i w:val="0"/>
          <w:sz w:val="28"/>
          <w:szCs w:val="28"/>
        </w:rPr>
        <w:t>前期合作积累的知情优势</w:t>
      </w:r>
    </w:p>
    <w:p w14:paraId="1AA03B72">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前一轮芬兰项目中，摩根完成了三项工作，这些工作建立了对当升的直接认知：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9"/>
        <w:gridCol w:w="2775"/>
        <w:gridCol w:w="4326"/>
      </w:tblGrid>
      <w:tr w14:paraId="467DC3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1539" w:type="dxa"/>
            <w:vAlign w:val="center"/>
          </w:tcPr>
          <w:p w14:paraId="4A1C49A7">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工作项</w:t>
            </w:r>
          </w:p>
        </w:tc>
        <w:tc>
          <w:tcPr>
            <w:tcW w:w="2775" w:type="dxa"/>
            <w:vAlign w:val="center"/>
          </w:tcPr>
          <w:p w14:paraId="59417E52">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内容</w:t>
            </w:r>
          </w:p>
        </w:tc>
        <w:tc>
          <w:tcPr>
            <w:tcW w:w="4326" w:type="dxa"/>
            <w:vAlign w:val="center"/>
          </w:tcPr>
          <w:p w14:paraId="3AEDB1ED">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对本项目的价值</w:t>
            </w:r>
          </w:p>
        </w:tc>
      </w:tr>
      <w:tr w14:paraId="03170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1E1E3907">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常州基地培训</w:t>
            </w:r>
          </w:p>
        </w:tc>
        <w:tc>
          <w:tcPr>
            <w:tcW w:w="2775" w:type="dxa"/>
          </w:tcPr>
          <w:p w14:paraId="6336A61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为即将外派的中方人员开展系统培训（持续三个月）</w:t>
            </w:r>
          </w:p>
        </w:tc>
        <w:tc>
          <w:tcPr>
            <w:tcW w:w="4326" w:type="dxa"/>
          </w:tcPr>
          <w:p w14:paraId="531F96C9">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接触了一线管理者与骨干员工，了解当升的人才结构、管理风格和实际工作场景</w:t>
            </w:r>
          </w:p>
        </w:tc>
      </w:tr>
      <w:tr w14:paraId="30AF2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71B97063">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芬兰科特卡实地调研</w:t>
            </w:r>
          </w:p>
        </w:tc>
        <w:tc>
          <w:tcPr>
            <w:tcW w:w="2775" w:type="dxa"/>
          </w:tcPr>
          <w:p w14:paraId="1E5EF94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进入外派人员工作现场，观察中芬协作场景</w:t>
            </w:r>
          </w:p>
        </w:tc>
        <w:tc>
          <w:tcPr>
            <w:tcW w:w="4326" w:type="dxa"/>
          </w:tcPr>
          <w:p w14:paraId="4AC536A4">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掌握了海外基地的实际运营环境、中外团队协作中的真实摩擦点——这些是轮岗制度设计的一手输入</w:t>
            </w:r>
          </w:p>
        </w:tc>
      </w:tr>
      <w:tr w14:paraId="1CBA1E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9" w:type="dxa"/>
            <w:vAlign w:val="center"/>
          </w:tcPr>
          <w:p w14:paraId="46F4B36B">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中芬双向团队融合</w:t>
            </w:r>
          </w:p>
        </w:tc>
        <w:tc>
          <w:tcPr>
            <w:tcW w:w="2775" w:type="dxa"/>
          </w:tcPr>
          <w:p w14:paraId="626F395C">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同时面向中方外派人员与芬兰本地员工开展工作</w:t>
            </w:r>
          </w:p>
        </w:tc>
        <w:tc>
          <w:tcPr>
            <w:tcW w:w="4326" w:type="dxa"/>
          </w:tcPr>
          <w:p w14:paraId="1D69A4BA">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理解了当升从"国内管理"到"国际化协作"转型中的具体挑战——轮岗制度需要为这种转型提供人才支撑</w:t>
            </w:r>
          </w:p>
        </w:tc>
      </w:tr>
    </w:tbl>
    <w:p w14:paraId="51119E40">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i w:val="0"/>
          <w:sz w:val="28"/>
          <w:szCs w:val="28"/>
          <w:lang w:val="en-US" w:eastAsia="zh-CN"/>
        </w:rPr>
        <w:t>2、</w:t>
      </w:r>
      <w:r>
        <w:rPr>
          <w:rFonts w:hint="eastAsia" w:ascii="仿宋" w:hAnsi="仿宋" w:eastAsia="仿宋" w:cs="仿宋"/>
          <w:b w:val="0"/>
          <w:bCs/>
          <w:i w:val="0"/>
          <w:sz w:val="28"/>
          <w:szCs w:val="28"/>
        </w:rPr>
        <w:t>独立于培训的咨询能力</w:t>
      </w:r>
    </w:p>
    <w:p w14:paraId="5D21DC47">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摩根22年来服务客户以央企、国企及大型制造企业为主体，在长期实践中形成了以"实战落地"为核心特征的服务模式。摩根专家网络中，既有来自国际顶尖咨询机构的资深合伙人，也有曾在多家头部企业担任人力资源高管的实战型专家。这种"咨询方法论+企业实操经验"的复合能力结构，确保制度设计既有系统性的专业高度，又充分考量落地环节的实际约束。具体专家配置详见本方案第八章"项目团队"。</w:t>
      </w:r>
    </w:p>
    <w:p w14:paraId="03150ECF">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两种能力的叠加效应</w:t>
      </w:r>
    </w:p>
    <w:p w14:paraId="45C94D75">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外部咨询团队通常需要4-6周才能基本理解客户的组织语境与决策逻辑。基于前期合作积累的直接认知，摩根可将这一阶段显著压缩，将时间与资源集中投入在方案质量而非基础信息获取上。同时，摩根在咨询领域的专业积累确保本项目的交付标准——制度设计的系统性、落地性、可迭代性。</w:t>
      </w:r>
    </w:p>
    <w:p w14:paraId="1BE559C8">
      <w:pPr>
        <w:pStyle w:val="4"/>
        <w:ind w:firstLine="560" w:firstLineChars="200"/>
        <w:rPr>
          <w:rFonts w:hint="eastAsia" w:ascii="仿宋" w:hAnsi="仿宋" w:eastAsia="仿宋" w:cs="仿宋"/>
          <w:b w:val="0"/>
          <w:bCs w:val="0"/>
          <w:color w:val="auto"/>
          <w:sz w:val="28"/>
          <w:szCs w:val="28"/>
        </w:rPr>
      </w:pP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lang w:val="en-US" w:eastAsia="zh-CN"/>
        </w:rPr>
        <w:t>二</w:t>
      </w:r>
      <w:r>
        <w:rPr>
          <w:rFonts w:hint="eastAsia" w:ascii="仿宋" w:hAnsi="仿宋" w:eastAsia="仿宋" w:cs="仿宋"/>
          <w:b w:val="0"/>
          <w:bCs w:val="0"/>
          <w:color w:val="auto"/>
          <w:sz w:val="28"/>
          <w:szCs w:val="28"/>
          <w:lang w:eastAsia="zh-CN"/>
        </w:rPr>
        <w:t>）</w:t>
      </w:r>
      <w:r>
        <w:rPr>
          <w:rFonts w:hint="eastAsia" w:ascii="仿宋" w:hAnsi="仿宋" w:eastAsia="仿宋" w:cs="仿宋"/>
          <w:b w:val="0"/>
          <w:bCs w:val="0"/>
          <w:color w:val="auto"/>
          <w:sz w:val="28"/>
          <w:szCs w:val="28"/>
        </w:rPr>
        <w:t>项目实施模型：4D人才流动与激励模型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9"/>
        <w:gridCol w:w="1949"/>
        <w:gridCol w:w="2092"/>
        <w:gridCol w:w="1660"/>
        <w:gridCol w:w="1697"/>
      </w:tblGrid>
      <w:tr w14:paraId="2FA628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6" w:hRule="atLeast"/>
          <w:jc w:val="center"/>
        </w:trPr>
        <w:tc>
          <w:tcPr>
            <w:tcW w:w="939" w:type="dxa"/>
            <w:vAlign w:val="center"/>
          </w:tcPr>
          <w:p w14:paraId="52446DB8">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阶段</w:t>
            </w:r>
          </w:p>
        </w:tc>
        <w:tc>
          <w:tcPr>
            <w:tcW w:w="1949" w:type="dxa"/>
            <w:vAlign w:val="center"/>
          </w:tcPr>
          <w:p w14:paraId="6E04E0A4">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D1 诊断与确认</w:t>
            </w:r>
          </w:p>
        </w:tc>
        <w:tc>
          <w:tcPr>
            <w:tcW w:w="2092" w:type="dxa"/>
            <w:vAlign w:val="center"/>
          </w:tcPr>
          <w:p w14:paraId="32893A54">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D2 方案撰写</w:t>
            </w:r>
          </w:p>
        </w:tc>
        <w:tc>
          <w:tcPr>
            <w:tcW w:w="1660" w:type="dxa"/>
            <w:vAlign w:val="center"/>
          </w:tcPr>
          <w:p w14:paraId="4E1EF74C">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D3 汇报确认</w:t>
            </w:r>
          </w:p>
        </w:tc>
        <w:tc>
          <w:tcPr>
            <w:tcW w:w="1697" w:type="dxa"/>
            <w:vAlign w:val="center"/>
          </w:tcPr>
          <w:p w14:paraId="11CF6CAD">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D4 宣导固化</w:t>
            </w:r>
          </w:p>
        </w:tc>
      </w:tr>
      <w:tr w14:paraId="695173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jc w:val="center"/>
        </w:trPr>
        <w:tc>
          <w:tcPr>
            <w:tcW w:w="939" w:type="dxa"/>
          </w:tcPr>
          <w:p w14:paraId="0AD0B970">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时间</w:t>
            </w:r>
          </w:p>
        </w:tc>
        <w:tc>
          <w:tcPr>
            <w:tcW w:w="1949" w:type="dxa"/>
          </w:tcPr>
          <w:p w14:paraId="5682AA7B">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第1-2周</w:t>
            </w:r>
          </w:p>
        </w:tc>
        <w:tc>
          <w:tcPr>
            <w:tcW w:w="2092" w:type="dxa"/>
          </w:tcPr>
          <w:p w14:paraId="6721C3C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第3-5周</w:t>
            </w:r>
          </w:p>
        </w:tc>
        <w:tc>
          <w:tcPr>
            <w:tcW w:w="1660" w:type="dxa"/>
          </w:tcPr>
          <w:p w14:paraId="2B6E19D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第6-7周</w:t>
            </w:r>
          </w:p>
        </w:tc>
        <w:tc>
          <w:tcPr>
            <w:tcW w:w="1697" w:type="dxa"/>
          </w:tcPr>
          <w:p w14:paraId="6C5A8026">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第8-10周</w:t>
            </w:r>
          </w:p>
        </w:tc>
      </w:tr>
      <w:tr w14:paraId="6066D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96" w:hRule="atLeast"/>
          <w:jc w:val="center"/>
        </w:trPr>
        <w:tc>
          <w:tcPr>
            <w:tcW w:w="939" w:type="dxa"/>
            <w:vAlign w:val="center"/>
          </w:tcPr>
          <w:p w14:paraId="7252BF91">
            <w:pPr>
              <w:spacing w:after="0" w:line="240" w:lineRule="auto"/>
              <w:jc w:val="center"/>
              <w:rPr>
                <w:rFonts w:hint="eastAsia" w:ascii="仿宋" w:hAnsi="仿宋" w:eastAsia="仿宋" w:cs="仿宋"/>
                <w:b w:val="0"/>
                <w:bCs/>
                <w:sz w:val="24"/>
                <w:szCs w:val="24"/>
              </w:rPr>
            </w:pPr>
            <w:r>
              <w:rPr>
                <w:rFonts w:hint="eastAsia" w:ascii="仿宋" w:hAnsi="仿宋" w:eastAsia="仿宋" w:cs="仿宋"/>
                <w:b w:val="0"/>
                <w:bCs/>
                <w:i w:val="0"/>
                <w:sz w:val="24"/>
                <w:szCs w:val="24"/>
              </w:rPr>
              <w:t>核心工作</w:t>
            </w:r>
          </w:p>
        </w:tc>
        <w:tc>
          <w:tcPr>
            <w:tcW w:w="1949" w:type="dxa"/>
          </w:tcPr>
          <w:p w14:paraId="7D70984A">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①联合项目组组建（与访谈同步）</w:t>
            </w:r>
          </w:p>
          <w:p w14:paraId="6C2708B4">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②分层访谈（含董事长，20-30人+AI问卷补充）</w:t>
            </w:r>
          </w:p>
          <w:p w14:paraId="30EA3560">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③诊断分析</w:t>
            </w:r>
          </w:p>
          <w:p w14:paraId="39CF4246">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④人力资源系统框架梳理（2-3个工作日）</w:t>
            </w:r>
          </w:p>
        </w:tc>
        <w:tc>
          <w:tcPr>
            <w:tcW w:w="2092" w:type="dxa"/>
          </w:tcPr>
          <w:p w14:paraId="14DC611C">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①全公司轮岗制度设计（跨地域+跨部门+跨层级+跨界轮岗专章）</w:t>
            </w:r>
          </w:p>
          <w:p w14:paraId="664E800B">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②激励机制衔接方案设计</w:t>
            </w:r>
          </w:p>
          <w:p w14:paraId="145F966D">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③模块衔接接口设计</w:t>
            </w:r>
          </w:p>
          <w:p w14:paraId="37DEB05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④首轮试点设计</w:t>
            </w:r>
          </w:p>
        </w:tc>
        <w:tc>
          <w:tcPr>
            <w:tcW w:w="1660" w:type="dxa"/>
          </w:tcPr>
          <w:p w14:paraId="10A69DC6">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①业务部门意见征求（2-3场）</w:t>
            </w:r>
          </w:p>
          <w:p w14:paraId="1D20BFD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②董事长汇报与方案签批</w:t>
            </w:r>
          </w:p>
        </w:tc>
        <w:tc>
          <w:tcPr>
            <w:tcW w:w="1697" w:type="dxa"/>
          </w:tcPr>
          <w:p w14:paraId="754A54BB">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①分层宣导（HR团队→全员）</w:t>
            </w:r>
          </w:p>
          <w:p w14:paraId="16FE3249">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②答疑辅导</w:t>
            </w:r>
          </w:p>
          <w:p w14:paraId="15878821">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③HR专项小组带教收尾</w:t>
            </w:r>
          </w:p>
          <w:p w14:paraId="3C71BC74">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④制度正式版定稿</w:t>
            </w:r>
          </w:p>
          <w:p w14:paraId="46EBA1B0">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⑤后续陪跑选项确认</w:t>
            </w:r>
          </w:p>
        </w:tc>
      </w:tr>
      <w:tr w14:paraId="6EE854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166" w:hRule="atLeast"/>
          <w:jc w:val="center"/>
        </w:trPr>
        <w:tc>
          <w:tcPr>
            <w:tcW w:w="939" w:type="dxa"/>
            <w:vAlign w:val="center"/>
          </w:tcPr>
          <w:p w14:paraId="1777E2DB">
            <w:pPr>
              <w:spacing w:after="0" w:line="240" w:lineRule="auto"/>
              <w:jc w:val="center"/>
              <w:rPr>
                <w:rFonts w:hint="eastAsia" w:ascii="仿宋" w:hAnsi="仿宋" w:eastAsia="仿宋" w:cs="仿宋"/>
                <w:b w:val="0"/>
                <w:bCs/>
                <w:sz w:val="24"/>
                <w:szCs w:val="24"/>
              </w:rPr>
            </w:pPr>
            <w:r>
              <w:rPr>
                <w:rFonts w:hint="eastAsia" w:ascii="仿宋" w:hAnsi="仿宋" w:eastAsia="仿宋" w:cs="仿宋"/>
                <w:b w:val="0"/>
                <w:bCs/>
                <w:i w:val="0"/>
                <w:sz w:val="24"/>
                <w:szCs w:val="24"/>
              </w:rPr>
              <w:t>关键产出</w:t>
            </w:r>
          </w:p>
        </w:tc>
        <w:tc>
          <w:tcPr>
            <w:tcW w:w="1949" w:type="dxa"/>
          </w:tcPr>
          <w:p w14:paraId="19FBAC5A">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速览简报（48h内）诊断报告系统框架图</w:t>
            </w:r>
          </w:p>
          <w:p w14:paraId="353593F6">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🔴人力资源部确认</w:t>
            </w:r>
          </w:p>
        </w:tc>
        <w:tc>
          <w:tcPr>
            <w:tcW w:w="2092" w:type="dxa"/>
          </w:tcPr>
          <w:p w14:paraId="72E0E79A">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轮岗管理制度（草案）</w:t>
            </w:r>
          </w:p>
          <w:p w14:paraId="6632C6E8">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跨界轮岗专章</w:t>
            </w:r>
          </w:p>
          <w:p w14:paraId="267BF43B">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激励衔接方案</w:t>
            </w:r>
          </w:p>
          <w:p w14:paraId="46C96572">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各模块衔接接口说明</w:t>
            </w:r>
          </w:p>
          <w:p w14:paraId="4283B870">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 人力资源部确认（≤2轮修改）</w:t>
            </w:r>
          </w:p>
        </w:tc>
        <w:tc>
          <w:tcPr>
            <w:tcW w:w="1660" w:type="dxa"/>
          </w:tcPr>
          <w:p w14:paraId="01BCAFAF">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业务部门反馈汇总</w:t>
            </w:r>
          </w:p>
          <w:p w14:paraId="4E2F2CC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董事长签批方案（终审稿）🔄 修改1-2轮</w:t>
            </w:r>
          </w:p>
        </w:tc>
        <w:tc>
          <w:tcPr>
            <w:tcW w:w="1697" w:type="dxa"/>
          </w:tcPr>
          <w:p w14:paraId="56EB6190">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宣导活动完成制度正式发布版</w:t>
            </w:r>
          </w:p>
          <w:p w14:paraId="6B0C5B85">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HR团队独立运营能力</w:t>
            </w:r>
          </w:p>
          <w:p w14:paraId="551A591A">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后续服务方案确认</w:t>
            </w:r>
          </w:p>
        </w:tc>
      </w:tr>
      <w:tr w14:paraId="02D2BB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7" w:hRule="atLeast"/>
          <w:jc w:val="center"/>
        </w:trPr>
        <w:tc>
          <w:tcPr>
            <w:tcW w:w="939" w:type="dxa"/>
            <w:vAlign w:val="center"/>
          </w:tcPr>
          <w:p w14:paraId="09ECA0A7">
            <w:pPr>
              <w:spacing w:after="0" w:line="240" w:lineRule="auto"/>
              <w:jc w:val="center"/>
              <w:rPr>
                <w:rFonts w:hint="eastAsia" w:ascii="仿宋" w:hAnsi="仿宋" w:eastAsia="仿宋" w:cs="仿宋"/>
                <w:b w:val="0"/>
                <w:bCs/>
                <w:sz w:val="24"/>
                <w:szCs w:val="24"/>
              </w:rPr>
            </w:pPr>
            <w:r>
              <w:rPr>
                <w:rFonts w:hint="eastAsia" w:ascii="仿宋" w:hAnsi="仿宋" w:eastAsia="仿宋" w:cs="仿宋"/>
                <w:b w:val="0"/>
                <w:bCs/>
                <w:i w:val="0"/>
                <w:sz w:val="24"/>
                <w:szCs w:val="24"/>
              </w:rPr>
              <w:t>关键门禁</w:t>
            </w:r>
          </w:p>
        </w:tc>
        <w:tc>
          <w:tcPr>
            <w:tcW w:w="1949" w:type="dxa"/>
          </w:tcPr>
          <w:p w14:paraId="0F633C3C">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🔴人力资源部确认访谈总结后方可进入D2</w:t>
            </w:r>
          </w:p>
        </w:tc>
        <w:tc>
          <w:tcPr>
            <w:tcW w:w="2092" w:type="dxa"/>
          </w:tcPr>
          <w:p w14:paraId="5E25998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 与人力资源部最多修改两轮，确认后进入D3</w:t>
            </w:r>
          </w:p>
        </w:tc>
        <w:tc>
          <w:tcPr>
            <w:tcW w:w="1660" w:type="dxa"/>
          </w:tcPr>
          <w:p w14:paraId="6D6A1C0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董事长签批后进入D4</w:t>
            </w:r>
          </w:p>
        </w:tc>
        <w:tc>
          <w:tcPr>
            <w:tcW w:w="1697" w:type="dxa"/>
          </w:tcPr>
          <w:p w14:paraId="249FCCF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w:t>
            </w:r>
          </w:p>
        </w:tc>
      </w:tr>
    </w:tbl>
    <w:p w14:paraId="67E7611D">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核心管控原则：</w:t>
      </w:r>
    </w:p>
    <w:p w14:paraId="6B778D2E">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阶段门禁：每阶段结束有关键产出物和确认节点，未经确认不得进入下一阶段。出现分歧以董事长最终意见为准</w:t>
      </w:r>
    </w:p>
    <w:p w14:paraId="4C64557F">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修改轮次上限：D2人力资源部对接最多修改两轮，D3董事长一般一轮修改意见——避免反复拉扯导致项目跑偏</w:t>
      </w:r>
    </w:p>
    <w:p w14:paraId="2E8666BB">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时间灵活：整体8-10周，现场工作每周1-2天（关键节点可增至2-3天），具体节奏根据当升科技实际业务灵活调整</w:t>
      </w:r>
    </w:p>
    <w:p w14:paraId="6A33BD0E">
      <w:pPr>
        <w:pStyle w:val="4"/>
        <w:rPr>
          <w:rFonts w:hint="eastAsia" w:ascii="黑体" w:hAnsi="黑体" w:eastAsia="黑体" w:cs="黑体"/>
          <w:b w:val="0"/>
          <w:bCs w:val="0"/>
          <w:color w:val="auto"/>
          <w:sz w:val="28"/>
          <w:szCs w:val="28"/>
        </w:rPr>
      </w:pPr>
    </w:p>
    <w:p w14:paraId="652C8A33">
      <w:pPr>
        <w:pStyle w:val="4"/>
        <w:ind w:firstLine="560" w:firstLineChars="200"/>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三、项目具体实施内容</w:t>
      </w:r>
    </w:p>
    <w:p w14:paraId="13B1AACA">
      <w:pPr>
        <w:pStyle w:val="5"/>
        <w:ind w:firstLine="562" w:firstLineChars="200"/>
        <w:rPr>
          <w:rFonts w:hint="eastAsia" w:ascii="仿宋" w:hAnsi="仿宋" w:eastAsia="仿宋" w:cs="仿宋"/>
          <w:color w:val="auto"/>
          <w:sz w:val="28"/>
          <w:szCs w:val="28"/>
        </w:rPr>
      </w:pPr>
      <w:r>
        <w:rPr>
          <w:rFonts w:hint="eastAsia" w:ascii="仿宋" w:hAnsi="仿宋" w:eastAsia="仿宋" w:cs="仿宋"/>
          <w:color w:val="auto"/>
          <w:sz w:val="28"/>
          <w:szCs w:val="28"/>
        </w:rPr>
        <w:t>阶段一：</w:t>
      </w:r>
      <w:r>
        <w:rPr>
          <w:rFonts w:hint="default" w:ascii="Times New Roman" w:hAnsi="Times New Roman" w:eastAsia="仿宋" w:cs="Times New Roman"/>
          <w:color w:val="auto"/>
          <w:sz w:val="28"/>
          <w:szCs w:val="28"/>
        </w:rPr>
        <w:t xml:space="preserve">Diagnose </w:t>
      </w:r>
      <w:r>
        <w:rPr>
          <w:rFonts w:hint="eastAsia" w:ascii="仿宋" w:hAnsi="仿宋" w:eastAsia="仿宋" w:cs="仿宋"/>
          <w:color w:val="auto"/>
          <w:sz w:val="28"/>
          <w:szCs w:val="28"/>
        </w:rPr>
        <w:t>诊断与确认（第1-2周）</w:t>
      </w:r>
    </w:p>
    <w:p w14:paraId="6F9EBB5C">
      <w:pPr>
        <w:pStyle w:val="6"/>
        <w:ind w:firstLine="560" w:firstLineChars="200"/>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1</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联合项目组组建</w:t>
      </w:r>
    </w:p>
    <w:p w14:paraId="1BF80EC1">
      <w:pPr>
        <w:ind w:firstLine="560" w:firstLineChars="200"/>
        <w:rPr>
          <w:rFonts w:hint="eastAsia" w:ascii="仿宋" w:hAnsi="仿宋" w:eastAsia="仿宋" w:cs="仿宋"/>
          <w:color w:val="auto"/>
          <w:sz w:val="28"/>
          <w:szCs w:val="28"/>
        </w:rPr>
      </w:pPr>
      <w:r>
        <w:rPr>
          <w:rFonts w:hint="eastAsia" w:ascii="仿宋" w:hAnsi="仿宋" w:eastAsia="仿宋" w:cs="仿宋"/>
          <w:color w:val="auto"/>
          <w:sz w:val="28"/>
          <w:szCs w:val="28"/>
        </w:rPr>
        <w:t>采用"联合项目组深度融合"模式：</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32"/>
        <w:gridCol w:w="7408"/>
      </w:tblGrid>
      <w:tr w14:paraId="7819DE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232" w:type="dxa"/>
            <w:vAlign w:val="center"/>
          </w:tcPr>
          <w:p w14:paraId="2FA2811C">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要素</w:t>
            </w:r>
          </w:p>
        </w:tc>
        <w:tc>
          <w:tcPr>
            <w:tcW w:w="7408" w:type="dxa"/>
            <w:vAlign w:val="center"/>
          </w:tcPr>
          <w:p w14:paraId="60327256">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安排</w:t>
            </w:r>
          </w:p>
        </w:tc>
      </w:tr>
      <w:tr w14:paraId="7661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2" w:hRule="atLeast"/>
          <w:jc w:val="center"/>
        </w:trPr>
        <w:tc>
          <w:tcPr>
            <w:tcW w:w="1232" w:type="dxa"/>
            <w:vAlign w:val="center"/>
          </w:tcPr>
          <w:p w14:paraId="7516BA41">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组成</w:t>
            </w:r>
          </w:p>
        </w:tc>
        <w:tc>
          <w:tcPr>
            <w:tcW w:w="7408" w:type="dxa"/>
            <w:vAlign w:val="center"/>
          </w:tcPr>
          <w:p w14:paraId="4D768F2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摩根专家团队 + 当升科技HR骨干，全程协同推进</w:t>
            </w:r>
          </w:p>
        </w:tc>
      </w:tr>
      <w:tr w14:paraId="0CC31D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232" w:type="dxa"/>
            <w:vAlign w:val="center"/>
          </w:tcPr>
          <w:p w14:paraId="4F32297A">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HR参与</w:t>
            </w:r>
          </w:p>
        </w:tc>
        <w:tc>
          <w:tcPr>
            <w:tcW w:w="7408" w:type="dxa"/>
            <w:vAlign w:val="center"/>
          </w:tcPr>
          <w:p w14:paraId="0A3FFE8D">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当升科技自行决定参与学习的HR人员数量，参与人员全程跟项目即可在过程中完成能力内化</w:t>
            </w:r>
          </w:p>
        </w:tc>
      </w:tr>
      <w:tr w14:paraId="67760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10" w:hRule="atLeast"/>
          <w:jc w:val="center"/>
        </w:trPr>
        <w:tc>
          <w:tcPr>
            <w:tcW w:w="1232" w:type="dxa"/>
            <w:vAlign w:val="center"/>
          </w:tcPr>
          <w:p w14:paraId="4D41809B">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带教内容</w:t>
            </w:r>
          </w:p>
        </w:tc>
        <w:tc>
          <w:tcPr>
            <w:tcW w:w="7408" w:type="dxa"/>
            <w:vAlign w:val="center"/>
          </w:tcPr>
          <w:p w14:paraId="38ABE165">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访谈技巧、框架梳理、制度设计方法——摩根专家在各阶段对当升HR团队进行"做中学"带教</w:t>
            </w:r>
          </w:p>
        </w:tc>
      </w:tr>
      <w:tr w14:paraId="0A1B4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5" w:hRule="atLeast"/>
          <w:jc w:val="center"/>
        </w:trPr>
        <w:tc>
          <w:tcPr>
            <w:tcW w:w="1232" w:type="dxa"/>
            <w:vAlign w:val="center"/>
          </w:tcPr>
          <w:p w14:paraId="710E15DE">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工作模式</w:t>
            </w:r>
          </w:p>
        </w:tc>
        <w:tc>
          <w:tcPr>
            <w:tcW w:w="7408" w:type="dxa"/>
            <w:vAlign w:val="center"/>
          </w:tcPr>
          <w:p w14:paraId="7C83519D">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非全程驻场：摩根团队固定每周1-2天现场办公（关键节点可增至2-3天），非现场时间线上随时沟通</w:t>
            </w:r>
          </w:p>
        </w:tc>
      </w:tr>
    </w:tbl>
    <w:p w14:paraId="0D50CEF2">
      <w:pPr>
        <w:pStyle w:val="6"/>
        <w:keepNext/>
        <w:keepLines/>
        <w:pageBreakBefore w:val="0"/>
        <w:widowControl/>
        <w:kinsoku/>
        <w:wordWrap/>
        <w:overflowPunct/>
        <w:topLinePunct w:val="0"/>
        <w:autoSpaceDE/>
        <w:autoSpaceDN/>
        <w:bidi w:val="0"/>
        <w:adjustRightInd/>
        <w:snapToGrid/>
        <w:spacing w:after="181" w:afterLines="50"/>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客户方HR团队投入预估（帮助HR总做内部资源调配）：</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43"/>
        <w:gridCol w:w="1772"/>
        <w:gridCol w:w="3465"/>
        <w:gridCol w:w="2160"/>
      </w:tblGrid>
      <w:tr w14:paraId="234DF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6" w:hRule="atLeast"/>
          <w:jc w:val="center"/>
        </w:trPr>
        <w:tc>
          <w:tcPr>
            <w:tcW w:w="1243" w:type="dxa"/>
            <w:vAlign w:val="center"/>
          </w:tcPr>
          <w:p w14:paraId="10A6B7D4">
            <w:pPr>
              <w:spacing w:after="0" w:line="240" w:lineRule="auto"/>
              <w:jc w:val="left"/>
              <w:rPr>
                <w:rFonts w:hint="eastAsia" w:ascii="黑体" w:hAnsi="黑体" w:eastAsia="黑体" w:cs="黑体"/>
                <w:b w:val="0"/>
                <w:bCs/>
                <w:sz w:val="24"/>
                <w:szCs w:val="24"/>
              </w:rPr>
            </w:pPr>
            <w:r>
              <w:rPr>
                <w:rFonts w:hint="eastAsia" w:ascii="黑体" w:hAnsi="黑体" w:eastAsia="黑体" w:cs="黑体"/>
                <w:b w:val="0"/>
                <w:bCs/>
                <w:i w:val="0"/>
                <w:sz w:val="24"/>
                <w:szCs w:val="24"/>
              </w:rPr>
              <w:t>阶段</w:t>
            </w:r>
          </w:p>
        </w:tc>
        <w:tc>
          <w:tcPr>
            <w:tcW w:w="1772" w:type="dxa"/>
            <w:vAlign w:val="center"/>
          </w:tcPr>
          <w:p w14:paraId="138141AD">
            <w:pPr>
              <w:spacing w:after="0" w:line="240" w:lineRule="auto"/>
              <w:jc w:val="left"/>
              <w:rPr>
                <w:rFonts w:hint="eastAsia" w:ascii="黑体" w:hAnsi="黑体" w:eastAsia="黑体" w:cs="黑体"/>
                <w:b w:val="0"/>
                <w:bCs/>
                <w:sz w:val="24"/>
                <w:szCs w:val="24"/>
              </w:rPr>
            </w:pPr>
            <w:r>
              <w:rPr>
                <w:rFonts w:hint="eastAsia" w:ascii="黑体" w:hAnsi="黑体" w:eastAsia="黑体" w:cs="黑体"/>
                <w:b w:val="0"/>
                <w:bCs/>
                <w:i w:val="0"/>
                <w:sz w:val="24"/>
                <w:szCs w:val="24"/>
              </w:rPr>
              <w:t>HR投入人数</w:t>
            </w:r>
          </w:p>
        </w:tc>
        <w:tc>
          <w:tcPr>
            <w:tcW w:w="3465" w:type="dxa"/>
            <w:vAlign w:val="center"/>
          </w:tcPr>
          <w:p w14:paraId="54CAE1C8">
            <w:pPr>
              <w:spacing w:after="0" w:line="240" w:lineRule="auto"/>
              <w:jc w:val="left"/>
              <w:rPr>
                <w:rFonts w:hint="eastAsia" w:ascii="黑体" w:hAnsi="黑体" w:eastAsia="黑体" w:cs="黑体"/>
                <w:b w:val="0"/>
                <w:bCs/>
                <w:sz w:val="24"/>
                <w:szCs w:val="24"/>
              </w:rPr>
            </w:pPr>
            <w:r>
              <w:rPr>
                <w:rFonts w:hint="eastAsia" w:ascii="黑体" w:hAnsi="黑体" w:eastAsia="黑体" w:cs="黑体"/>
                <w:b w:val="0"/>
                <w:bCs/>
                <w:i w:val="0"/>
                <w:sz w:val="24"/>
                <w:szCs w:val="24"/>
              </w:rPr>
              <w:t>关键投入节点</w:t>
            </w:r>
          </w:p>
        </w:tc>
        <w:tc>
          <w:tcPr>
            <w:tcW w:w="2160" w:type="dxa"/>
            <w:vAlign w:val="center"/>
          </w:tcPr>
          <w:p w14:paraId="14AD73C0">
            <w:pPr>
              <w:spacing w:after="0" w:line="240" w:lineRule="auto"/>
              <w:jc w:val="left"/>
              <w:rPr>
                <w:rFonts w:hint="eastAsia" w:ascii="黑体" w:hAnsi="黑体" w:eastAsia="黑体" w:cs="黑体"/>
                <w:b w:val="0"/>
                <w:bCs/>
                <w:sz w:val="24"/>
                <w:szCs w:val="24"/>
              </w:rPr>
            </w:pPr>
            <w:r>
              <w:rPr>
                <w:rFonts w:hint="eastAsia" w:ascii="黑体" w:hAnsi="黑体" w:eastAsia="黑体" w:cs="黑体"/>
                <w:b w:val="0"/>
                <w:bCs/>
                <w:i w:val="0"/>
                <w:sz w:val="24"/>
                <w:szCs w:val="24"/>
              </w:rPr>
              <w:t>预计投入天数/人</w:t>
            </w:r>
          </w:p>
        </w:tc>
      </w:tr>
      <w:tr w14:paraId="1473C6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vAlign w:val="center"/>
          </w:tcPr>
          <w:p w14:paraId="68A74B06">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D1 诊断与确认</w:t>
            </w:r>
          </w:p>
        </w:tc>
        <w:tc>
          <w:tcPr>
            <w:tcW w:w="1772" w:type="dxa"/>
            <w:vAlign w:val="center"/>
          </w:tcPr>
          <w:p w14:paraId="6260F55C">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2-3人（含对接负责人）</w:t>
            </w:r>
          </w:p>
        </w:tc>
        <w:tc>
          <w:tcPr>
            <w:tcW w:w="3465" w:type="dxa"/>
            <w:vAlign w:val="center"/>
          </w:tcPr>
          <w:p w14:paraId="5B8B0BB6">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访谈全程陪同（3-5天）、系统框架梳理研讨（2-3天）、诊断报告审阅</w:t>
            </w:r>
          </w:p>
        </w:tc>
        <w:tc>
          <w:tcPr>
            <w:tcW w:w="2160" w:type="dxa"/>
            <w:vAlign w:val="center"/>
          </w:tcPr>
          <w:p w14:paraId="360C0ED2">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5-8天</w:t>
            </w:r>
          </w:p>
        </w:tc>
      </w:tr>
      <w:tr w14:paraId="313C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vAlign w:val="center"/>
          </w:tcPr>
          <w:p w14:paraId="59A73EF5">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D2 方案撰写</w:t>
            </w:r>
          </w:p>
        </w:tc>
        <w:tc>
          <w:tcPr>
            <w:tcW w:w="1772" w:type="dxa"/>
            <w:vAlign w:val="center"/>
          </w:tcPr>
          <w:p w14:paraId="6DE62C42">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1-2人（含对接负责人）</w:t>
            </w:r>
          </w:p>
        </w:tc>
        <w:tc>
          <w:tcPr>
            <w:tcW w:w="3465" w:type="dxa"/>
            <w:vAlign w:val="center"/>
          </w:tcPr>
          <w:p w14:paraId="0FF302F4">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方案研讨（每周1-2天现场）、修改反馈（2轮）、试点设计讨论</w:t>
            </w:r>
          </w:p>
        </w:tc>
        <w:tc>
          <w:tcPr>
            <w:tcW w:w="2160" w:type="dxa"/>
            <w:vAlign w:val="center"/>
          </w:tcPr>
          <w:p w14:paraId="20026B40">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6-10天</w:t>
            </w:r>
          </w:p>
        </w:tc>
      </w:tr>
      <w:tr w14:paraId="57E044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vAlign w:val="center"/>
          </w:tcPr>
          <w:p w14:paraId="0E2C99B4">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D3 汇报确认</w:t>
            </w:r>
          </w:p>
        </w:tc>
        <w:tc>
          <w:tcPr>
            <w:tcW w:w="1772" w:type="dxa"/>
            <w:vAlign w:val="center"/>
          </w:tcPr>
          <w:p w14:paraId="1396068F">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1人（对接负责人）</w:t>
            </w:r>
          </w:p>
        </w:tc>
        <w:tc>
          <w:tcPr>
            <w:tcW w:w="3465" w:type="dxa"/>
            <w:vAlign w:val="center"/>
          </w:tcPr>
          <w:p w14:paraId="678AB126">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业务部门沟通会组织（2-3场）、董事长汇报准备</w:t>
            </w:r>
          </w:p>
        </w:tc>
        <w:tc>
          <w:tcPr>
            <w:tcW w:w="2160" w:type="dxa"/>
            <w:vAlign w:val="center"/>
          </w:tcPr>
          <w:p w14:paraId="03EFF6D3">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3-4天</w:t>
            </w:r>
          </w:p>
        </w:tc>
      </w:tr>
      <w:tr w14:paraId="333D58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vAlign w:val="center"/>
          </w:tcPr>
          <w:p w14:paraId="3671D541">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D4 宣导固化</w:t>
            </w:r>
          </w:p>
        </w:tc>
        <w:tc>
          <w:tcPr>
            <w:tcW w:w="1772" w:type="dxa"/>
            <w:vAlign w:val="center"/>
          </w:tcPr>
          <w:p w14:paraId="3A98EEA9">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2-3人（</w:t>
            </w:r>
            <w:r>
              <w:rPr>
                <w:rFonts w:hint="default" w:ascii="Times New Roman" w:hAnsi="Times New Roman" w:eastAsia="仿宋" w:cs="Times New Roman"/>
                <w:b w:val="0"/>
                <w:i w:val="0"/>
                <w:sz w:val="24"/>
                <w:szCs w:val="24"/>
              </w:rPr>
              <w:t>HR</w:t>
            </w:r>
            <w:r>
              <w:rPr>
                <w:rFonts w:hint="eastAsia" w:ascii="仿宋" w:hAnsi="仿宋" w:eastAsia="仿宋" w:cs="仿宋"/>
                <w:b w:val="0"/>
                <w:i w:val="0"/>
                <w:sz w:val="24"/>
                <w:szCs w:val="24"/>
              </w:rPr>
              <w:t>专项小组全员）</w:t>
            </w:r>
          </w:p>
        </w:tc>
        <w:tc>
          <w:tcPr>
            <w:tcW w:w="3465" w:type="dxa"/>
            <w:vAlign w:val="center"/>
          </w:tcPr>
          <w:p w14:paraId="1386B13A">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分层宣贯组织、带教收尾、制度定稿</w:t>
            </w:r>
          </w:p>
        </w:tc>
        <w:tc>
          <w:tcPr>
            <w:tcW w:w="2160" w:type="dxa"/>
            <w:vAlign w:val="center"/>
          </w:tcPr>
          <w:p w14:paraId="50679250">
            <w:pPr>
              <w:spacing w:after="0" w:line="240" w:lineRule="auto"/>
              <w:jc w:val="left"/>
              <w:rPr>
                <w:rFonts w:hint="eastAsia" w:ascii="仿宋" w:hAnsi="仿宋" w:eastAsia="仿宋" w:cs="仿宋"/>
                <w:sz w:val="24"/>
                <w:szCs w:val="24"/>
              </w:rPr>
            </w:pPr>
            <w:r>
              <w:rPr>
                <w:rFonts w:hint="eastAsia" w:ascii="仿宋" w:hAnsi="仿宋" w:eastAsia="仿宋" w:cs="仿宋"/>
                <w:b w:val="0"/>
                <w:i w:val="0"/>
                <w:sz w:val="24"/>
                <w:szCs w:val="24"/>
              </w:rPr>
              <w:t>3-5天</w:t>
            </w:r>
          </w:p>
        </w:tc>
      </w:tr>
      <w:tr w14:paraId="5A1D4A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43" w:type="dxa"/>
          </w:tcPr>
          <w:p w14:paraId="17002D64">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合计</w:t>
            </w:r>
          </w:p>
        </w:tc>
        <w:tc>
          <w:tcPr>
            <w:tcW w:w="1772" w:type="dxa"/>
          </w:tcPr>
          <w:p w14:paraId="135E8F2D">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2-3人核心</w:t>
            </w:r>
          </w:p>
        </w:tc>
        <w:tc>
          <w:tcPr>
            <w:tcW w:w="3465" w:type="dxa"/>
          </w:tcPr>
          <w:p w14:paraId="11276979">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10周内分散投入</w:t>
            </w:r>
          </w:p>
        </w:tc>
        <w:tc>
          <w:tcPr>
            <w:tcW w:w="2160" w:type="dxa"/>
          </w:tcPr>
          <w:p w14:paraId="126FE4ED">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约17-27天/人</w:t>
            </w:r>
          </w:p>
        </w:tc>
      </w:tr>
    </w:tbl>
    <w:p w14:paraId="4B7211BE"/>
    <w:p w14:paraId="39A1D900">
      <w:pPr>
        <w:ind w:left="567"/>
        <w:rPr>
          <w:rFonts w:hint="eastAsia" w:ascii="仿宋" w:hAnsi="仿宋" w:eastAsia="仿宋" w:cs="仿宋"/>
          <w:sz w:val="28"/>
          <w:szCs w:val="28"/>
        </w:rPr>
      </w:pPr>
      <w:r>
        <w:rPr>
          <w:rFonts w:hint="eastAsia" w:ascii="仿宋" w:hAnsi="仿宋" w:eastAsia="仿宋" w:cs="仿宋"/>
          <w:b w:val="0"/>
          <w:i/>
          <w:sz w:val="28"/>
          <w:szCs w:val="28"/>
        </w:rPr>
        <w:t>核心原则：HR团队不脱产跟项目——关键节点全程在场，日常通过线上异步配合。对接负责人在D1/D2阶段是确认门禁，必须参与研讨和审阅，但不需要全程驻场。</w:t>
      </w:r>
    </w:p>
    <w:p w14:paraId="1FA8526D">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访谈方法论（专业建议）</w:t>
      </w:r>
    </w:p>
    <w:p w14:paraId="3C1BFF5A">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基于咨询行业经过大量项目验证的方法论，本轮访谈设计如下：</w:t>
      </w:r>
    </w:p>
    <w:p w14:paraId="596B7A1A">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样本量：面对面访谈20-30人（含董事长）</w:t>
      </w:r>
    </w:p>
    <w:p w14:paraId="7A7FF148">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为什么是这个数字？质性研究的方法论共识表明，在一对一深度访谈中，信息饱和点（</w:t>
      </w:r>
      <w:r>
        <w:rPr>
          <w:rFonts w:hint="default" w:ascii="Times New Roman" w:hAnsi="Times New Roman" w:eastAsia="仿宋" w:cs="Times New Roman"/>
          <w:sz w:val="28"/>
          <w:szCs w:val="28"/>
        </w:rPr>
        <w:t>Saturation Point</w:t>
      </w:r>
      <w:r>
        <w:rPr>
          <w:rFonts w:hint="eastAsia" w:ascii="仿宋" w:hAnsi="仿宋" w:eastAsia="仿宋" w:cs="仿宋"/>
          <w:sz w:val="28"/>
          <w:szCs w:val="28"/>
        </w:rPr>
        <w:t>）通常出现在第12-18个访谈之间（</w:t>
      </w:r>
      <w:r>
        <w:rPr>
          <w:rFonts w:hint="default" w:ascii="Times New Roman" w:hAnsi="Times New Roman" w:eastAsia="仿宋" w:cs="Times New Roman"/>
          <w:sz w:val="28"/>
          <w:szCs w:val="28"/>
        </w:rPr>
        <w:t>Guest, Bunce &amp; Johnson, 2006</w:t>
      </w:r>
      <w:r>
        <w:rPr>
          <w:rFonts w:hint="eastAsia" w:ascii="仿宋" w:hAnsi="仿宋" w:eastAsia="仿宋" w:cs="仿宋"/>
          <w:sz w:val="28"/>
          <w:szCs w:val="28"/>
        </w:rPr>
        <w:t>）——此后每个新增访谈提供的全新信息量急剧下降。将样本量设定为20-30人，既留出安全边际确保达到饱和，又避免超过30人后边际信息增量递减的资源浪费。</w:t>
      </w:r>
    </w:p>
    <w:p w14:paraId="2A760D53">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分层抽样设计：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2"/>
        <w:gridCol w:w="7278"/>
      </w:tblGrid>
      <w:tr w14:paraId="25C87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1362" w:type="dxa"/>
          </w:tcPr>
          <w:p w14:paraId="54544335">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设计要素</w:t>
            </w:r>
          </w:p>
        </w:tc>
        <w:tc>
          <w:tcPr>
            <w:tcW w:w="7278" w:type="dxa"/>
          </w:tcPr>
          <w:p w14:paraId="77496481">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具体安排</w:t>
            </w:r>
          </w:p>
        </w:tc>
      </w:tr>
      <w:tr w14:paraId="5E26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jc w:val="center"/>
        </w:trPr>
        <w:tc>
          <w:tcPr>
            <w:tcW w:w="1362" w:type="dxa"/>
            <w:vAlign w:val="center"/>
          </w:tcPr>
          <w:p w14:paraId="7DA4042F">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分层规则</w:t>
            </w:r>
          </w:p>
        </w:tc>
        <w:tc>
          <w:tcPr>
            <w:tcW w:w="7278" w:type="dxa"/>
          </w:tcPr>
          <w:p w14:paraId="59068F0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按高/中/基三层比例抽取：高层必须全覆盖（董事长+总经理），中层干部为重点（占比约50%），基层核心员工抽样</w:t>
            </w:r>
          </w:p>
        </w:tc>
      </w:tr>
      <w:tr w14:paraId="088B6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jc w:val="center"/>
        </w:trPr>
        <w:tc>
          <w:tcPr>
            <w:tcW w:w="1362" w:type="dxa"/>
            <w:vAlign w:val="center"/>
          </w:tcPr>
          <w:p w14:paraId="1280860F">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业务覆盖</w:t>
            </w:r>
          </w:p>
        </w:tc>
        <w:tc>
          <w:tcPr>
            <w:tcW w:w="7278" w:type="dxa"/>
          </w:tcPr>
          <w:p w14:paraId="1F307AD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与轮岗调整相关的业务板块多抽（研发、生产、质量、商务），支持部门少抽——确保代表性</w:t>
            </w:r>
          </w:p>
        </w:tc>
      </w:tr>
      <w:tr w14:paraId="26A69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3" w:hRule="atLeast"/>
          <w:jc w:val="center"/>
        </w:trPr>
        <w:tc>
          <w:tcPr>
            <w:tcW w:w="1362" w:type="dxa"/>
            <w:vAlign w:val="center"/>
          </w:tcPr>
          <w:p w14:paraId="202CC0E5">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补充手段</w:t>
            </w:r>
          </w:p>
        </w:tc>
        <w:tc>
          <w:tcPr>
            <w:tcW w:w="7278" w:type="dxa"/>
          </w:tcPr>
          <w:p w14:paraId="51330BF3">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超出抽样范围的员工通过AI问卷补充调研，保证覆盖广度同时控制调研成本</w:t>
            </w:r>
          </w:p>
        </w:tc>
      </w:tr>
      <w:tr w14:paraId="2B7BE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4" w:hRule="atLeast"/>
          <w:jc w:val="center"/>
        </w:trPr>
        <w:tc>
          <w:tcPr>
            <w:tcW w:w="1362" w:type="dxa"/>
            <w:vAlign w:val="center"/>
          </w:tcPr>
          <w:p w14:paraId="7D8C7BA8">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保密原则</w:t>
            </w:r>
          </w:p>
        </w:tc>
        <w:tc>
          <w:tcPr>
            <w:tcW w:w="7278" w:type="dxa"/>
          </w:tcPr>
          <w:p w14:paraId="18A2AB0C">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若当升科技希望听取员工真实想法，甲方项目组可不参与具体访谈——摩根仅汇总共性问题汇报，不泄露具体访谈对象发言内容</w:t>
            </w:r>
          </w:p>
        </w:tc>
      </w:tr>
    </w:tbl>
    <w:p w14:paraId="7A4E7FBF">
      <w:pPr>
        <w:keepNext w:val="0"/>
        <w:keepLines w:val="0"/>
        <w:pageBreakBefore w:val="0"/>
        <w:widowControl/>
        <w:kinsoku/>
        <w:wordWrap/>
        <w:overflowPunct/>
        <w:topLinePunct w:val="0"/>
        <w:autoSpaceDE/>
        <w:autoSpaceDN/>
        <w:bidi w:val="0"/>
        <w:adjustRightInd/>
        <w:snapToGrid/>
        <w:spacing w:before="181" w:beforeLines="50"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访谈五大维度：</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9"/>
        <w:gridCol w:w="7250"/>
      </w:tblGrid>
      <w:tr w14:paraId="6857C4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1" w:hRule="atLeast"/>
          <w:jc w:val="center"/>
        </w:trPr>
        <w:tc>
          <w:tcPr>
            <w:tcW w:w="1369" w:type="dxa"/>
          </w:tcPr>
          <w:p w14:paraId="72F27B68">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维度</w:t>
            </w:r>
          </w:p>
        </w:tc>
        <w:tc>
          <w:tcPr>
            <w:tcW w:w="7250" w:type="dxa"/>
          </w:tcPr>
          <w:p w14:paraId="316A8C98">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核心问题方向</w:t>
            </w:r>
          </w:p>
        </w:tc>
      </w:tr>
      <w:tr w14:paraId="774F5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6" w:hRule="atLeast"/>
          <w:jc w:val="center"/>
        </w:trPr>
        <w:tc>
          <w:tcPr>
            <w:tcW w:w="1369" w:type="dxa"/>
          </w:tcPr>
          <w:p w14:paraId="50201B16">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现状痛点</w:t>
            </w:r>
          </w:p>
        </w:tc>
        <w:tc>
          <w:tcPr>
            <w:tcW w:w="7250" w:type="dxa"/>
          </w:tcPr>
          <w:p w14:paraId="46AF0FF5">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跨部门/跨层级流动中的主要困难？不同岗位间轮岗（如研发↔生产、生产→质量等）的特殊阻力？</w:t>
            </w:r>
          </w:p>
        </w:tc>
      </w:tr>
      <w:tr w14:paraId="5CC98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369" w:type="dxa"/>
          </w:tcPr>
          <w:p w14:paraId="7932F6C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制度缺口</w:t>
            </w:r>
          </w:p>
        </w:tc>
        <w:tc>
          <w:tcPr>
            <w:tcW w:w="7250" w:type="dxa"/>
          </w:tcPr>
          <w:p w14:paraId="2C6F8B95">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当前是否有临时性调动政策？不同轮岗类型的差异化制度需求？最容易推诿的环节？</w:t>
            </w:r>
          </w:p>
        </w:tc>
      </w:tr>
      <w:tr w14:paraId="6DFC55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369" w:type="dxa"/>
          </w:tcPr>
          <w:p w14:paraId="06EEBA4C">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激励感知</w:t>
            </w:r>
          </w:p>
        </w:tc>
        <w:tc>
          <w:tcPr>
            <w:tcW w:w="7250" w:type="dxa"/>
          </w:tcPr>
          <w:p w14:paraId="13316120">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当前津贴/薪酬体系能否支撑跨部门、跨地域流动？从高价值岗位到低价值岗位，薪酬如何过渡？</w:t>
            </w:r>
          </w:p>
        </w:tc>
      </w:tr>
      <w:tr w14:paraId="45CCD1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1" w:hRule="atLeast"/>
          <w:jc w:val="center"/>
        </w:trPr>
        <w:tc>
          <w:tcPr>
            <w:tcW w:w="1369" w:type="dxa"/>
          </w:tcPr>
          <w:p w14:paraId="64789784">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发展诉求</w:t>
            </w:r>
          </w:p>
        </w:tc>
        <w:tc>
          <w:tcPr>
            <w:tcW w:w="7250" w:type="dxa"/>
          </w:tcPr>
          <w:p w14:paraId="3CB2C690">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员工对职业发展路径的期望？轮岗与晋升之间是否建立关联？"轮出去回不来"是否是核心顾虑？</w:t>
            </w:r>
          </w:p>
        </w:tc>
      </w:tr>
      <w:tr w14:paraId="7E3BE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1" w:hRule="atLeast"/>
          <w:jc w:val="center"/>
        </w:trPr>
        <w:tc>
          <w:tcPr>
            <w:tcW w:w="1369" w:type="dxa"/>
          </w:tcPr>
          <w:p w14:paraId="5B52AAA2">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国际维度</w:t>
            </w:r>
          </w:p>
        </w:tc>
        <w:tc>
          <w:tcPr>
            <w:tcW w:w="7250" w:type="dxa"/>
          </w:tcPr>
          <w:p w14:paraId="5E253194">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芬兰外派经验对国内轮岗机制有何启示？后续印尼、摩洛哥等新基地的人才储备如何提前布局？</w:t>
            </w:r>
          </w:p>
        </w:tc>
      </w:tr>
    </w:tbl>
    <w:p w14:paraId="3A6AAFDA">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48小时速览简报：访谈结束后48小时内输出《当升科技人才流动现状速览简报》（1-2页），概要呈现关键发现与初步判断，不等完整诊断报告。让客户感受项目推进节奏，也为后续诊断报告和方案撰写提前对齐方向。</w:t>
      </w:r>
    </w:p>
    <w:p w14:paraId="136C63F7">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3</w:t>
      </w:r>
      <w:r>
        <w:rPr>
          <w:rFonts w:hint="eastAsia" w:ascii="仿宋" w:hAnsi="仿宋" w:eastAsia="仿宋" w:cs="仿宋"/>
          <w:sz w:val="28"/>
          <w:szCs w:val="28"/>
          <w:lang w:eastAsia="zh-CN"/>
        </w:rPr>
        <w:t>、</w:t>
      </w:r>
      <w:r>
        <w:rPr>
          <w:rFonts w:hint="eastAsia" w:ascii="仿宋" w:hAnsi="仿宋" w:eastAsia="仿宋" w:cs="仿宋"/>
          <w:sz w:val="28"/>
          <w:szCs w:val="28"/>
        </w:rPr>
        <w:t>诊断分析与系统框架梳理</w:t>
      </w:r>
    </w:p>
    <w:p w14:paraId="12C65A0C">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完整记录各层级、各人群的诉求点与顾虑点，形成初步诊断结论（问题清单、根因分析、优先级建议）</w:t>
      </w:r>
    </w:p>
    <w:p w14:paraId="3AF8C243">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特别关注不同轮岗场景（研发↔生产、生产→质量、总部→基地、国内→海外）的差异化痛点</w:t>
      </w:r>
    </w:p>
    <w:p w14:paraId="75F40469">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同步梳理人力资源整体系统框架（2-3个工作日），明确各类型轮岗与薪酬、绩效、考核、晋升、培训等模块的衔接关键点，输出系统框架图</w:t>
      </w:r>
    </w:p>
    <w:p w14:paraId="3023C7B1">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4</w:t>
      </w:r>
      <w:r>
        <w:rPr>
          <w:rFonts w:hint="eastAsia" w:ascii="仿宋" w:hAnsi="仿宋" w:eastAsia="仿宋" w:cs="仿宋"/>
          <w:sz w:val="28"/>
          <w:szCs w:val="28"/>
          <w:lang w:eastAsia="zh-CN"/>
        </w:rPr>
        <w:t>、</w:t>
      </w:r>
      <w:r>
        <w:rPr>
          <w:rFonts w:hint="eastAsia" w:ascii="仿宋" w:hAnsi="仿宋" w:eastAsia="仿宋" w:cs="仿宋"/>
          <w:sz w:val="28"/>
          <w:szCs w:val="28"/>
        </w:rPr>
        <w:t>阶段门禁与关键产出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35"/>
        <w:gridCol w:w="5424"/>
      </w:tblGrid>
      <w:tr w14:paraId="1334FA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3235" w:type="dxa"/>
          </w:tcPr>
          <w:p w14:paraId="377E63F4">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关键产出</w:t>
            </w:r>
          </w:p>
        </w:tc>
        <w:tc>
          <w:tcPr>
            <w:tcW w:w="5424" w:type="dxa"/>
          </w:tcPr>
          <w:p w14:paraId="41034CB1">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说明</w:t>
            </w:r>
          </w:p>
        </w:tc>
      </w:tr>
      <w:tr w14:paraId="26223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3235" w:type="dxa"/>
          </w:tcPr>
          <w:p w14:paraId="217AA1E9">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《当升科技人才流动现状速览简报》</w:t>
            </w:r>
          </w:p>
        </w:tc>
        <w:tc>
          <w:tcPr>
            <w:tcW w:w="5424" w:type="dxa"/>
          </w:tcPr>
          <w:p w14:paraId="28BD758B">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访谈结束后48h内交付，1-2页</w:t>
            </w:r>
          </w:p>
        </w:tc>
      </w:tr>
      <w:tr w14:paraId="6B2410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jc w:val="center"/>
        </w:trPr>
        <w:tc>
          <w:tcPr>
            <w:tcW w:w="3235" w:type="dxa"/>
          </w:tcPr>
          <w:p w14:paraId="79B0E752">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《当升科技人才流动现状诊断报告》</w:t>
            </w:r>
          </w:p>
        </w:tc>
        <w:tc>
          <w:tcPr>
            <w:tcW w:w="5424" w:type="dxa"/>
          </w:tcPr>
          <w:p w14:paraId="139380E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完整诊断结论</w:t>
            </w:r>
          </w:p>
        </w:tc>
      </w:tr>
      <w:tr w14:paraId="33308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3235" w:type="dxa"/>
          </w:tcPr>
          <w:p w14:paraId="5D7A611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《人力资源系统框架图》</w:t>
            </w:r>
          </w:p>
        </w:tc>
        <w:tc>
          <w:tcPr>
            <w:tcW w:w="5424" w:type="dxa"/>
          </w:tcPr>
          <w:p w14:paraId="308F05CA">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各类型轮岗的定位与接口设计</w:t>
            </w:r>
          </w:p>
        </w:tc>
      </w:tr>
      <w:tr w14:paraId="224F9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jc w:val="center"/>
        </w:trPr>
        <w:tc>
          <w:tcPr>
            <w:tcW w:w="3235" w:type="dxa"/>
          </w:tcPr>
          <w:p w14:paraId="0AD95998">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人力资源部确认</w:t>
            </w:r>
          </w:p>
        </w:tc>
        <w:tc>
          <w:tcPr>
            <w:tcW w:w="5424" w:type="dxa"/>
          </w:tcPr>
          <w:p w14:paraId="30B2AC63">
            <w:pPr>
              <w:spacing w:after="0" w:line="240" w:lineRule="auto"/>
              <w:rPr>
                <w:rFonts w:hint="eastAsia" w:ascii="仿宋" w:hAnsi="仿宋" w:eastAsia="仿宋" w:cs="仿宋"/>
                <w:sz w:val="24"/>
                <w:szCs w:val="24"/>
              </w:rPr>
            </w:pPr>
            <w:r>
              <w:rPr>
                <w:rFonts w:hint="eastAsia" w:ascii="仿宋" w:hAnsi="仿宋" w:eastAsia="仿宋" w:cs="仿宋"/>
                <w:b/>
                <w:i w:val="0"/>
                <w:sz w:val="24"/>
                <w:szCs w:val="24"/>
              </w:rPr>
              <w:t>关键门禁：确认后方可进入方案撰写阶段</w:t>
            </w:r>
          </w:p>
        </w:tc>
      </w:tr>
      <w:tr w14:paraId="62EEE3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jc w:val="center"/>
        </w:trPr>
        <w:tc>
          <w:tcPr>
            <w:tcW w:w="3235" w:type="dxa"/>
          </w:tcPr>
          <w:p w14:paraId="747F4399">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联合项目组就位</w:t>
            </w:r>
          </w:p>
        </w:tc>
        <w:tc>
          <w:tcPr>
            <w:tcW w:w="5424" w:type="dxa"/>
          </w:tcPr>
          <w:p w14:paraId="4F59B87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HR团队进入"做中学"模式</w:t>
            </w:r>
          </w:p>
        </w:tc>
      </w:tr>
    </w:tbl>
    <w:p w14:paraId="444E6ABF"/>
    <w:p w14:paraId="5DEA017B">
      <w:pPr>
        <w:pStyle w:val="5"/>
        <w:ind w:firstLine="562" w:firstLineChars="200"/>
        <w:rPr>
          <w:rFonts w:hint="eastAsia" w:ascii="仿宋" w:hAnsi="仿宋" w:eastAsia="仿宋" w:cs="仿宋"/>
          <w:color w:val="auto"/>
          <w:sz w:val="28"/>
          <w:szCs w:val="28"/>
        </w:rPr>
      </w:pPr>
      <w:r>
        <w:rPr>
          <w:rFonts w:hint="eastAsia" w:ascii="仿宋" w:hAnsi="仿宋" w:eastAsia="仿宋" w:cs="仿宋"/>
          <w:color w:val="auto"/>
          <w:sz w:val="28"/>
          <w:szCs w:val="28"/>
        </w:rPr>
        <w:t>阶段二：</w:t>
      </w:r>
      <w:r>
        <w:rPr>
          <w:rFonts w:hint="default" w:ascii="Times New Roman" w:hAnsi="Times New Roman" w:eastAsia="仿宋" w:cs="Times New Roman"/>
          <w:color w:val="auto"/>
          <w:sz w:val="28"/>
          <w:szCs w:val="28"/>
        </w:rPr>
        <w:t xml:space="preserve">Design </w:t>
      </w:r>
      <w:r>
        <w:rPr>
          <w:rFonts w:hint="eastAsia" w:ascii="仿宋" w:hAnsi="仿宋" w:eastAsia="仿宋" w:cs="仿宋"/>
          <w:color w:val="auto"/>
          <w:sz w:val="28"/>
          <w:szCs w:val="28"/>
        </w:rPr>
        <w:t>方案撰写（第3-5周）</w:t>
      </w:r>
    </w:p>
    <w:p w14:paraId="35C69AEC">
      <w:pPr>
        <w:pStyle w:val="6"/>
        <w:ind w:firstLine="560" w:firstLineChars="200"/>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1</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轮岗管理制度设计</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7255"/>
      </w:tblGrid>
      <w:tr w14:paraId="227F25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3" w:hRule="atLeast"/>
          <w:jc w:val="center"/>
        </w:trPr>
        <w:tc>
          <w:tcPr>
            <w:tcW w:w="1385" w:type="dxa"/>
            <w:vAlign w:val="center"/>
          </w:tcPr>
          <w:p w14:paraId="769A7C9E">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设计模块</w:t>
            </w:r>
          </w:p>
        </w:tc>
        <w:tc>
          <w:tcPr>
            <w:tcW w:w="7255" w:type="dxa"/>
            <w:vAlign w:val="center"/>
          </w:tcPr>
          <w:p w14:paraId="13030102">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具体内容</w:t>
            </w:r>
          </w:p>
        </w:tc>
      </w:tr>
      <w:tr w14:paraId="57D6BF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698F1CD1">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轮岗类型与路径</w:t>
            </w:r>
          </w:p>
        </w:tc>
        <w:tc>
          <w:tcPr>
            <w:tcW w:w="7255" w:type="dxa"/>
          </w:tcPr>
          <w:p w14:paraId="61106968">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三大类：①跨地域（国内基地间、国内↔海外）；②跨部门（研发↔生产、生产→质量、财务等职能→一线）；③跨层级（总部↔基地、管理岗↔技术岗）。覆盖芬兰/印尼/摩洛哥海外基地、攀枝花/常州/昆明国内基地、总部职能部门之间的全场景流动</w:t>
            </w:r>
          </w:p>
        </w:tc>
      </w:tr>
      <w:tr w14:paraId="6A474F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53F7225F">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关键岗位强制轮岗</w:t>
            </w:r>
          </w:p>
        </w:tc>
        <w:tc>
          <w:tcPr>
            <w:tcW w:w="7255" w:type="dxa"/>
          </w:tcPr>
          <w:p w14:paraId="5D38FC7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总监以上级别候选人须到相关业务一线轮岗后方可晋升；中台风控/研发/财务等岗位须到一线轮岗后方能掌握实际业务情况；</w:t>
            </w:r>
            <w:r>
              <w:rPr>
                <w:rFonts w:hint="eastAsia" w:ascii="仿宋" w:hAnsi="仿宋" w:eastAsia="仿宋" w:cs="仿宋"/>
                <w:b/>
                <w:i w:val="0"/>
                <w:sz w:val="24"/>
                <w:szCs w:val="24"/>
              </w:rPr>
              <w:t>一号位候选人必须深度轮岗生产、营销、研发全模块</w:t>
            </w:r>
          </w:p>
        </w:tc>
      </w:tr>
      <w:tr w14:paraId="5469E7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4F615013">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轮岗期间薪酬保障</w:t>
            </w:r>
          </w:p>
        </w:tc>
        <w:tc>
          <w:tcPr>
            <w:tcW w:w="7255" w:type="dxa"/>
          </w:tcPr>
          <w:p w14:paraId="69677286">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从高价值岗位轮岗至低价值岗位，</w:t>
            </w:r>
            <w:r>
              <w:rPr>
                <w:rFonts w:hint="eastAsia" w:ascii="仿宋" w:hAnsi="仿宋" w:eastAsia="仿宋" w:cs="仿宋"/>
                <w:b/>
                <w:i w:val="0"/>
                <w:sz w:val="24"/>
                <w:szCs w:val="24"/>
              </w:rPr>
              <w:t>轮岗期间保留原薪酬标准</w:t>
            </w:r>
            <w:r>
              <w:rPr>
                <w:rFonts w:hint="eastAsia" w:ascii="仿宋" w:hAnsi="仿宋" w:eastAsia="仿宋" w:cs="仿宋"/>
                <w:b w:val="0"/>
                <w:i w:val="0"/>
                <w:sz w:val="24"/>
                <w:szCs w:val="24"/>
              </w:rPr>
              <w:t>；轮岗后若适配更高价值岗位，按新岗位标准调整；明确回程保障，消除"轮出去回不来"的核心顾虑</w:t>
            </w:r>
          </w:p>
        </w:tc>
      </w:tr>
      <w:tr w14:paraId="70BB8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679BCFA3">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轮岗与晋升绑定</w:t>
            </w:r>
          </w:p>
        </w:tc>
        <w:tc>
          <w:tcPr>
            <w:tcW w:w="7255" w:type="dxa"/>
          </w:tcPr>
          <w:p w14:paraId="3DA22831">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进入轮岗池=后备干部，轮岗经历作为管理干部晋升的必要条件</w:t>
            </w:r>
          </w:p>
        </w:tc>
      </w:tr>
      <w:tr w14:paraId="032518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4BF857C4">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轮岗周期与频次</w:t>
            </w:r>
          </w:p>
        </w:tc>
        <w:tc>
          <w:tcPr>
            <w:tcW w:w="7255" w:type="dxa"/>
          </w:tcPr>
          <w:p w14:paraId="17D4AC7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按类型差异化：海外外派（1-3年）、国内跨基地（6个月-2年）、跨部门（3-12个月），设定最短/最长时限</w:t>
            </w:r>
          </w:p>
        </w:tc>
      </w:tr>
      <w:tr w14:paraId="6BA17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5C266C0D">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轮岗津贴与待遇</w:t>
            </w:r>
          </w:p>
        </w:tc>
        <w:tc>
          <w:tcPr>
            <w:tcW w:w="7255" w:type="dxa"/>
          </w:tcPr>
          <w:p w14:paraId="0804B2C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分级分类津贴标准（按地域系数×岗位系数×家庭情况），住房、交通、家庭补贴等配套</w:t>
            </w:r>
          </w:p>
        </w:tc>
      </w:tr>
      <w:tr w14:paraId="678760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0587239C">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选拔与匹配机制</w:t>
            </w:r>
          </w:p>
        </w:tc>
        <w:tc>
          <w:tcPr>
            <w:tcW w:w="7255" w:type="dxa"/>
          </w:tcPr>
          <w:p w14:paraId="376C3826">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轮岗岗位发布、人选推荐/竞聘、匹配确认流程；建立各关键岗位的后备人才池</w:t>
            </w:r>
          </w:p>
        </w:tc>
      </w:tr>
      <w:tr w14:paraId="224F9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1F5E9898">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绩效评估</w:t>
            </w:r>
          </w:p>
        </w:tc>
        <w:tc>
          <w:tcPr>
            <w:tcW w:w="7255" w:type="dxa"/>
          </w:tcPr>
          <w:p w14:paraId="7314C732">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派出单位与接收单位协同评价，明确考核主体与标准，避免"两不管"</w:t>
            </w:r>
          </w:p>
        </w:tc>
      </w:tr>
      <w:tr w14:paraId="33045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615E3CF0">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退出安置机制</w:t>
            </w:r>
          </w:p>
        </w:tc>
        <w:tc>
          <w:tcPr>
            <w:tcW w:w="7255" w:type="dxa"/>
          </w:tcPr>
          <w:p w14:paraId="2CC0D0A8">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回程岗位安排、退出通道，聚焦"轮出去回不来"的顾虑</w:t>
            </w:r>
          </w:p>
        </w:tc>
      </w:tr>
      <w:tr w14:paraId="15AF31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vAlign w:val="center"/>
          </w:tcPr>
          <w:p w14:paraId="627E8285">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人员补充循环</w:t>
            </w:r>
          </w:p>
        </w:tc>
        <w:tc>
          <w:tcPr>
            <w:tcW w:w="7255" w:type="dxa"/>
          </w:tcPr>
          <w:p w14:paraId="67F299D1">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确保关键岗位在人员轮出后业务不出现真空</w:t>
            </w:r>
          </w:p>
        </w:tc>
      </w:tr>
    </w:tbl>
    <w:p w14:paraId="33C2EF5E">
      <w:pPr>
        <w:pStyle w:val="6"/>
        <w:ind w:firstLine="560" w:firstLineChars="200"/>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2</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跨界轮岗专项设计</w:t>
      </w:r>
    </w:p>
    <w:p w14:paraId="054137B1">
      <w:pPr>
        <w:pStyle w:val="6"/>
        <w:keepNext/>
        <w:keepLines/>
        <w:pageBreakBefore w:val="0"/>
        <w:widowControl/>
        <w:kinsoku/>
        <w:wordWrap/>
        <w:overflowPunct/>
        <w:topLinePunct w:val="0"/>
        <w:autoSpaceDE/>
        <w:autoSpaceDN/>
        <w:bidi w:val="0"/>
        <w:adjustRightInd/>
        <w:snapToGrid/>
        <w:spacing w:before="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跨界轮岗（如研发↔生产、生产→质量等跨专业序列流动）是轮岗制度设计中最复杂的一类——它打破了传统的专业壁垒，需要独立的机制保障。本方案将其从通用轮岗框架中抽出，做专项设计。</w:t>
      </w:r>
    </w:p>
    <w:p w14:paraId="11430324">
      <w:pPr>
        <w:pStyle w:val="6"/>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跨界轮岗的常见场景（以下为制造业常见的跨界轮岗类型，当升科技的具体适用岗位和轮岗方向将在D1诊断阶段结合访谈与企业实际岗位信息确定）：</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09"/>
        <w:gridCol w:w="2291"/>
        <w:gridCol w:w="4940"/>
      </w:tblGrid>
      <w:tr w14:paraId="64558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09" w:type="dxa"/>
            <w:vAlign w:val="center"/>
          </w:tcPr>
          <w:p w14:paraId="240EB4FB">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场景类型</w:t>
            </w:r>
          </w:p>
        </w:tc>
        <w:tc>
          <w:tcPr>
            <w:tcW w:w="2291" w:type="dxa"/>
            <w:vAlign w:val="center"/>
          </w:tcPr>
          <w:p w14:paraId="06E88705">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典型示例</w:t>
            </w:r>
          </w:p>
        </w:tc>
        <w:tc>
          <w:tcPr>
            <w:tcW w:w="4940" w:type="dxa"/>
            <w:vAlign w:val="center"/>
          </w:tcPr>
          <w:p w14:paraId="2B47B367">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制度要解决的核心问题</w:t>
            </w:r>
          </w:p>
        </w:tc>
      </w:tr>
      <w:tr w14:paraId="413ED0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4A413E97">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部门间流动</w:t>
            </w:r>
          </w:p>
        </w:tc>
        <w:tc>
          <w:tcPr>
            <w:tcW w:w="2291" w:type="dxa"/>
          </w:tcPr>
          <w:p w14:paraId="2998310C">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研发↔生产、生产→质量等</w:t>
            </w:r>
          </w:p>
        </w:tc>
        <w:tc>
          <w:tcPr>
            <w:tcW w:w="4940" w:type="dxa"/>
          </w:tcPr>
          <w:p w14:paraId="56B8D9E2">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不同专业序列之间的人才如何有序流转，打破部门壁垒</w:t>
            </w:r>
          </w:p>
        </w:tc>
      </w:tr>
      <w:tr w14:paraId="4132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793C6A9E">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职能到一线</w:t>
            </w:r>
          </w:p>
        </w:tc>
        <w:tc>
          <w:tcPr>
            <w:tcW w:w="2291" w:type="dxa"/>
          </w:tcPr>
          <w:p w14:paraId="7F0B26E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财务、风控、HR等中台岗位→生产基地</w:t>
            </w:r>
          </w:p>
        </w:tc>
        <w:tc>
          <w:tcPr>
            <w:tcW w:w="4940" w:type="dxa"/>
          </w:tcPr>
          <w:p w14:paraId="70D3833A">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职能人员深入业务现场后，决策才能贴合实际——如财务了解生产流程后方能准确核算成本</w:t>
            </w:r>
          </w:p>
        </w:tc>
      </w:tr>
      <w:tr w14:paraId="5CE37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09" w:type="dxa"/>
            <w:vAlign w:val="center"/>
          </w:tcPr>
          <w:p w14:paraId="1481A2BA">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管理岗补技术认知</w:t>
            </w:r>
          </w:p>
        </w:tc>
        <w:tc>
          <w:tcPr>
            <w:tcW w:w="2291" w:type="dxa"/>
          </w:tcPr>
          <w:p w14:paraId="069985A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非技术背景管理者→技术岗（项目制）</w:t>
            </w:r>
          </w:p>
        </w:tc>
        <w:tc>
          <w:tcPr>
            <w:tcW w:w="4940" w:type="dxa"/>
          </w:tcPr>
          <w:p w14:paraId="61EF9AF2">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综合管理者通过短期项目制轮岗补足技术视角，避免决策脱离业务实际</w:t>
            </w:r>
          </w:p>
        </w:tc>
      </w:tr>
    </w:tbl>
    <w:p w14:paraId="1F18DF18">
      <w:pPr>
        <w:keepNext w:val="0"/>
        <w:keepLines w:val="0"/>
        <w:pageBreakBefore w:val="0"/>
        <w:widowControl/>
        <w:kinsoku/>
        <w:wordWrap/>
        <w:overflowPunct/>
        <w:topLinePunct w:val="0"/>
        <w:autoSpaceDE/>
        <w:autoSpaceDN/>
        <w:bidi w:val="0"/>
        <w:adjustRightInd/>
        <w:snapToGrid/>
        <w:spacing w:before="181" w:beforeLines="50"/>
        <w:ind w:firstLine="560" w:firstLineChars="200"/>
        <w:textAlignment w:val="auto"/>
        <w:rPr>
          <w:rFonts w:hint="eastAsia" w:ascii="仿宋" w:hAnsi="仿宋" w:eastAsia="仿宋" w:cs="仿宋"/>
          <w:sz w:val="28"/>
          <w:szCs w:val="28"/>
        </w:rPr>
      </w:pPr>
      <w:r>
        <w:rPr>
          <w:rFonts w:hint="eastAsia" w:ascii="仿宋" w:hAnsi="仿宋" w:eastAsia="仿宋" w:cs="仿宋"/>
          <w:b w:val="0"/>
          <w:i/>
          <w:sz w:val="28"/>
          <w:szCs w:val="28"/>
        </w:rPr>
        <w:t>上述场景类型为行业常见实践。当升科技适用的具体跨界路径、对应岗位及优先级，将在D1诊断阶段通过访谈和数据分析确定，在D2方案撰写阶段与HR团队联合设计细则。</w:t>
      </w:r>
    </w:p>
    <w:p w14:paraId="151B0AF3">
      <w:pPr>
        <w:pStyle w:val="6"/>
        <w:keepNext/>
        <w:keepLines/>
        <w:pageBreakBefore w:val="0"/>
        <w:widowControl/>
        <w:kinsoku/>
        <w:wordWrap/>
        <w:overflowPunct/>
        <w:topLinePunct w:val="0"/>
        <w:autoSpaceDE/>
        <w:autoSpaceDN/>
        <w:bidi w:val="0"/>
        <w:adjustRightInd/>
        <w:snapToGrid/>
        <w:spacing w:before="0" w:line="520" w:lineRule="exact"/>
        <w:ind w:firstLine="560" w:firstLineChars="200"/>
        <w:textAlignment w:val="auto"/>
        <w:rPr>
          <w:rFonts w:hint="eastAsia" w:ascii="仿宋" w:hAnsi="仿宋" w:eastAsia="仿宋" w:cs="仿宋"/>
          <w:b w:val="0"/>
          <w:bCs/>
          <w:sz w:val="28"/>
          <w:szCs w:val="28"/>
        </w:rPr>
      </w:pPr>
      <w:r>
        <w:rPr>
          <w:rFonts w:hint="eastAsia" w:ascii="仿宋" w:hAnsi="仿宋" w:eastAsia="仿宋" w:cs="仿宋"/>
          <w:b w:val="0"/>
          <w:bCs/>
          <w:i w:val="0"/>
          <w:color w:val="auto"/>
          <w:sz w:val="28"/>
          <w:szCs w:val="28"/>
          <w:lang w:eastAsia="zh-CN"/>
        </w:rPr>
        <w:t>（</w:t>
      </w:r>
      <w:r>
        <w:rPr>
          <w:rFonts w:hint="eastAsia" w:ascii="仿宋" w:hAnsi="仿宋" w:eastAsia="仿宋" w:cs="仿宋"/>
          <w:b w:val="0"/>
          <w:bCs/>
          <w:i w:val="0"/>
          <w:color w:val="auto"/>
          <w:sz w:val="28"/>
          <w:szCs w:val="28"/>
          <w:lang w:val="en-US" w:eastAsia="zh-CN"/>
        </w:rPr>
        <w:t>1</w:t>
      </w:r>
      <w:r>
        <w:rPr>
          <w:rFonts w:hint="eastAsia" w:ascii="仿宋" w:hAnsi="仿宋" w:eastAsia="仿宋" w:cs="仿宋"/>
          <w:b w:val="0"/>
          <w:bCs/>
          <w:i w:val="0"/>
          <w:color w:val="auto"/>
          <w:sz w:val="28"/>
          <w:szCs w:val="28"/>
          <w:lang w:eastAsia="zh-CN"/>
        </w:rPr>
        <w:t>）</w:t>
      </w:r>
      <w:r>
        <w:rPr>
          <w:rFonts w:hint="eastAsia" w:ascii="仿宋" w:hAnsi="仿宋" w:eastAsia="仿宋" w:cs="仿宋"/>
          <w:b w:val="0"/>
          <w:bCs/>
          <w:i w:val="0"/>
          <w:color w:val="auto"/>
          <w:sz w:val="28"/>
          <w:szCs w:val="28"/>
        </w:rPr>
        <w:t>跨界轮岗的特殊保障机制</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5"/>
        <w:gridCol w:w="2096"/>
        <w:gridCol w:w="5159"/>
      </w:tblGrid>
      <w:tr w14:paraId="494912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1" w:hRule="atLeast"/>
          <w:jc w:val="center"/>
        </w:trPr>
        <w:tc>
          <w:tcPr>
            <w:tcW w:w="1385" w:type="dxa"/>
            <w:vAlign w:val="center"/>
          </w:tcPr>
          <w:p w14:paraId="5B59991F">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保障维度</w:t>
            </w:r>
          </w:p>
        </w:tc>
        <w:tc>
          <w:tcPr>
            <w:tcW w:w="2096" w:type="dxa"/>
            <w:vAlign w:val="center"/>
          </w:tcPr>
          <w:p w14:paraId="43E36AD0">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普通轮岗</w:t>
            </w:r>
          </w:p>
        </w:tc>
        <w:tc>
          <w:tcPr>
            <w:tcW w:w="5159" w:type="dxa"/>
            <w:vAlign w:val="center"/>
          </w:tcPr>
          <w:p w14:paraId="7D8F5185">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跨界轮岗（增强设计）</w:t>
            </w:r>
          </w:p>
        </w:tc>
      </w:tr>
      <w:tr w14:paraId="3D6E3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BF6C2DA">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薪酬过渡</w:t>
            </w:r>
          </w:p>
        </w:tc>
        <w:tc>
          <w:tcPr>
            <w:tcW w:w="2096" w:type="dxa"/>
          </w:tcPr>
          <w:p w14:paraId="30DEF5B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保留原薪酬标准</w:t>
            </w:r>
          </w:p>
        </w:tc>
        <w:tc>
          <w:tcPr>
            <w:tcW w:w="5159" w:type="dxa"/>
          </w:tcPr>
          <w:p w14:paraId="7E28F6F4">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保留原薪酬标准 + 跨界适应津贴（岗位价值差异越大津贴越高），过渡期6-12个月</w:t>
            </w:r>
          </w:p>
        </w:tc>
      </w:tr>
      <w:tr w14:paraId="56F5B6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7B2346DE">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回程保障</w:t>
            </w:r>
          </w:p>
        </w:tc>
        <w:tc>
          <w:tcPr>
            <w:tcW w:w="2096" w:type="dxa"/>
          </w:tcPr>
          <w:p w14:paraId="259860A9">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轮岗结束后安排回程岗位</w:t>
            </w:r>
          </w:p>
        </w:tc>
        <w:tc>
          <w:tcPr>
            <w:tcW w:w="5159" w:type="dxa"/>
          </w:tcPr>
          <w:p w14:paraId="7B2317A1">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双通道回程：①返回原岗位序列（保留跨界经验加权）②留在新岗位序列（按新序列职级晋升）——选择权在员工</w:t>
            </w:r>
          </w:p>
        </w:tc>
      </w:tr>
      <w:tr w14:paraId="4094A1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121DA021">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考核权重</w:t>
            </w:r>
          </w:p>
        </w:tc>
        <w:tc>
          <w:tcPr>
            <w:tcW w:w="2096" w:type="dxa"/>
          </w:tcPr>
          <w:p w14:paraId="57C07B78">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接收单位考核为主</w:t>
            </w:r>
          </w:p>
        </w:tc>
        <w:tc>
          <w:tcPr>
            <w:tcW w:w="5159" w:type="dxa"/>
          </w:tcPr>
          <w:p w14:paraId="05261F2C">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派出单位+接收单位+个人发展目标三重评价，具体权重在D2阶段结合岗位特征确定</w:t>
            </w:r>
          </w:p>
        </w:tc>
      </w:tr>
      <w:tr w14:paraId="047E16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85" w:type="dxa"/>
          </w:tcPr>
          <w:p w14:paraId="55BFED61">
            <w:pPr>
              <w:spacing w:after="0" w:line="240" w:lineRule="auto"/>
              <w:rPr>
                <w:rFonts w:hint="eastAsia" w:ascii="仿宋" w:hAnsi="仿宋" w:eastAsia="仿宋" w:cs="仿宋"/>
                <w:b w:val="0"/>
                <w:bCs/>
                <w:sz w:val="24"/>
                <w:szCs w:val="24"/>
              </w:rPr>
            </w:pPr>
            <w:r>
              <w:rPr>
                <w:rFonts w:hint="eastAsia" w:ascii="仿宋" w:hAnsi="仿宋" w:eastAsia="仿宋" w:cs="仿宋"/>
                <w:b w:val="0"/>
                <w:bCs/>
                <w:i w:val="0"/>
                <w:sz w:val="24"/>
                <w:szCs w:val="24"/>
              </w:rPr>
              <w:t>能力准备</w:t>
            </w:r>
          </w:p>
        </w:tc>
        <w:tc>
          <w:tcPr>
            <w:tcW w:w="2096" w:type="dxa"/>
          </w:tcPr>
          <w:p w14:paraId="04F301E9">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岗位基本要求匹配</w:t>
            </w:r>
          </w:p>
        </w:tc>
        <w:tc>
          <w:tcPr>
            <w:tcW w:w="5159" w:type="dxa"/>
          </w:tcPr>
          <w:p w14:paraId="4ACD5F26">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轮岗前1-2周"跨界过渡期"——跟岗观察+业务导师一对一，降低跨界冷启动成本</w:t>
            </w:r>
          </w:p>
        </w:tc>
      </w:tr>
    </w:tbl>
    <w:p w14:paraId="52B8528B">
      <w:pPr>
        <w:pStyle w:val="6"/>
        <w:keepNext/>
        <w:keepLines/>
        <w:pageBreakBefore w:val="0"/>
        <w:widowControl/>
        <w:kinsoku/>
        <w:wordWrap/>
        <w:overflowPunct/>
        <w:topLinePunct w:val="0"/>
        <w:autoSpaceDE/>
        <w:autoSpaceDN/>
        <w:bidi w:val="0"/>
        <w:adjustRightInd/>
        <w:snapToGrid/>
        <w:spacing w:before="181" w:beforeLines="50" w:after="181" w:afterLines="5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跨界轮岗与一号位培养：一号位候选人需深度经历跨职能历练（如生产、营销、研发等核心业务模块），跨界轮岗的考核结果作为晋升评议的重要参考。这确保未来"一号位"拥有跨专业视角，而非只在单一职能线上成长。具体轮岗路径组合将在D1诊断后结合当升科技业务特征与岗位体系确定。</w:t>
      </w:r>
    </w:p>
    <w:p w14:paraId="71C564C4">
      <w:pPr>
        <w:pStyle w:val="6"/>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跨界过渡期、导师选拔激励、适配失败处理等操作细节，将在D1诊断完成后，结合访谈数据与当升科技实际岗位信息，在D2方案撰写阶段与HR团队联合设计。当前阶段仅呈现方法论方向，避免在信息不足时做出不贴合实际的预设。</w:t>
      </w:r>
    </w:p>
    <w:p w14:paraId="04A26449">
      <w:pPr>
        <w:pStyle w:val="6"/>
        <w:ind w:firstLine="560" w:firstLineChars="200"/>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3</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激励机制衔接方案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0"/>
        <w:gridCol w:w="6759"/>
      </w:tblGrid>
      <w:tr w14:paraId="5953D8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860" w:type="dxa"/>
            <w:vAlign w:val="center"/>
          </w:tcPr>
          <w:p w14:paraId="78EECADA">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设计模块</w:t>
            </w:r>
          </w:p>
        </w:tc>
        <w:tc>
          <w:tcPr>
            <w:tcW w:w="6759" w:type="dxa"/>
            <w:vAlign w:val="center"/>
          </w:tcPr>
          <w:p w14:paraId="0CD6C633">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具体内容</w:t>
            </w:r>
          </w:p>
        </w:tc>
      </w:tr>
      <w:tr w14:paraId="23D17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jc w:val="center"/>
        </w:trPr>
        <w:tc>
          <w:tcPr>
            <w:tcW w:w="1860" w:type="dxa"/>
            <w:vAlign w:val="center"/>
          </w:tcPr>
          <w:p w14:paraId="62D9DD8B">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轮岗津贴体系</w:t>
            </w:r>
          </w:p>
        </w:tc>
        <w:tc>
          <w:tcPr>
            <w:tcW w:w="6759" w:type="dxa"/>
            <w:vAlign w:val="center"/>
          </w:tcPr>
          <w:p w14:paraId="722AC4C0">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分层分类补贴标准（地域系数×岗位系数×家庭情况），覆盖海外/异地/同城三类场景</w:t>
            </w:r>
          </w:p>
        </w:tc>
      </w:tr>
      <w:tr w14:paraId="272FF2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jc w:val="center"/>
        </w:trPr>
        <w:tc>
          <w:tcPr>
            <w:tcW w:w="1860" w:type="dxa"/>
            <w:vAlign w:val="center"/>
          </w:tcPr>
          <w:p w14:paraId="20351C8E">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跨价值岗位薪酬过渡</w:t>
            </w:r>
          </w:p>
        </w:tc>
        <w:tc>
          <w:tcPr>
            <w:tcW w:w="6759" w:type="dxa"/>
            <w:vAlign w:val="center"/>
          </w:tcPr>
          <w:p w14:paraId="3347F8D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高→低价值岗位轮岗期间保留原薪酬标准；适配更高岗位后按新标准调整</w:t>
            </w:r>
          </w:p>
        </w:tc>
      </w:tr>
      <w:tr w14:paraId="3618DC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6" w:hRule="atLeast"/>
          <w:jc w:val="center"/>
        </w:trPr>
        <w:tc>
          <w:tcPr>
            <w:tcW w:w="1860" w:type="dxa"/>
            <w:vAlign w:val="center"/>
          </w:tcPr>
          <w:p w14:paraId="17CA33B0">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绩效激励机制</w:t>
            </w:r>
          </w:p>
        </w:tc>
        <w:tc>
          <w:tcPr>
            <w:tcW w:w="6759" w:type="dxa"/>
            <w:vAlign w:val="center"/>
          </w:tcPr>
          <w:p w14:paraId="2AE43461">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突出跨部门适应、业务拓展贡献与一线实践成果的考核权重</w:t>
            </w:r>
          </w:p>
        </w:tc>
      </w:tr>
      <w:tr w14:paraId="1620D4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89" w:hRule="atLeast"/>
          <w:jc w:val="center"/>
        </w:trPr>
        <w:tc>
          <w:tcPr>
            <w:tcW w:w="1860" w:type="dxa"/>
            <w:vAlign w:val="center"/>
          </w:tcPr>
          <w:p w14:paraId="0DEFA408">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长期激励挂钩</w:t>
            </w:r>
          </w:p>
        </w:tc>
        <w:tc>
          <w:tcPr>
            <w:tcW w:w="6759" w:type="dxa"/>
            <w:vAlign w:val="center"/>
          </w:tcPr>
          <w:p w14:paraId="0ADD406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轮岗经历（尤其是跨界/海外/异地）与股权激励、职业晋升等长期激励挂钩</w:t>
            </w:r>
          </w:p>
        </w:tc>
      </w:tr>
      <w:tr w14:paraId="4328A2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2" w:hRule="atLeast"/>
          <w:jc w:val="center"/>
        </w:trPr>
        <w:tc>
          <w:tcPr>
            <w:tcW w:w="1860" w:type="dxa"/>
            <w:vAlign w:val="center"/>
          </w:tcPr>
          <w:p w14:paraId="4992D8B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保留与留任</w:t>
            </w:r>
          </w:p>
        </w:tc>
        <w:tc>
          <w:tcPr>
            <w:tcW w:w="6759" w:type="dxa"/>
            <w:vAlign w:val="center"/>
          </w:tcPr>
          <w:p w14:paraId="460D54B7">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关键人才留任奖金、服务期约定、轮岗后职业发展通道保障</w:t>
            </w:r>
          </w:p>
        </w:tc>
      </w:tr>
    </w:tbl>
    <w:p w14:paraId="728BA20A"/>
    <w:p w14:paraId="40809358">
      <w:pPr>
        <w:pStyle w:val="6"/>
        <w:ind w:firstLine="560" w:firstLineChars="200"/>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4</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衔接设计与首轮试点</w:t>
      </w:r>
    </w:p>
    <w:p w14:paraId="2216717F">
      <w:pPr>
        <w:pStyle w:val="6"/>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rPr>
        <w:t>识别轮岗制度与薪酬体系、绩效管理、人才盘点与继任计划、分层管理能力提升计划（可衔接当升科技新晋管理人员领导力培训项目）的衔接点，形成接口方案。</w:t>
      </w:r>
    </w:p>
    <w:p w14:paraId="6C9CDF55">
      <w:pPr>
        <w:pStyle w:val="6"/>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lang w:val="en-US" w:eastAsia="zh-CN"/>
        </w:rPr>
        <w:t>1</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首轮试点：制度设计不等"完美"才启动——在制度发布后1个月内，选取1-2条最具代表性的轮岗路径先行试跑（如跨界路径和跨地域路径各选一条），每路径3-5人，采用"提名+自愿"混合制。试点者配备双导师、月度回访、试点期满述职。核心逻辑：用小范围成功案例打破观望心态。</w:t>
      </w:r>
    </w:p>
    <w:p w14:paraId="65A72AB6">
      <w:pPr>
        <w:pStyle w:val="6"/>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lang w:val="en-US" w:eastAsia="zh-CN"/>
        </w:rPr>
        <w:t>2</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试点→推广的完整路径：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48"/>
        <w:gridCol w:w="1429"/>
        <w:gridCol w:w="1450"/>
        <w:gridCol w:w="3085"/>
        <w:gridCol w:w="1728"/>
      </w:tblGrid>
      <w:tr w14:paraId="0E051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8" w:type="dxa"/>
          </w:tcPr>
          <w:p w14:paraId="24A00CA2">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阶段</w:t>
            </w:r>
          </w:p>
        </w:tc>
        <w:tc>
          <w:tcPr>
            <w:tcW w:w="1429" w:type="dxa"/>
          </w:tcPr>
          <w:p w14:paraId="435873E2">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时间</w:t>
            </w:r>
          </w:p>
        </w:tc>
        <w:tc>
          <w:tcPr>
            <w:tcW w:w="1450" w:type="dxa"/>
          </w:tcPr>
          <w:p w14:paraId="204FD99F">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范围</w:t>
            </w:r>
          </w:p>
        </w:tc>
        <w:tc>
          <w:tcPr>
            <w:tcW w:w="3085" w:type="dxa"/>
          </w:tcPr>
          <w:p w14:paraId="185B2ED4">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关键动作</w:t>
            </w:r>
          </w:p>
        </w:tc>
        <w:tc>
          <w:tcPr>
            <w:tcW w:w="1728" w:type="dxa"/>
          </w:tcPr>
          <w:p w14:paraId="568E4D86">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决策节点</w:t>
            </w:r>
          </w:p>
        </w:tc>
      </w:tr>
      <w:tr w14:paraId="20F774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8" w:type="dxa"/>
            <w:vAlign w:val="center"/>
          </w:tcPr>
          <w:p w14:paraId="7B83A392">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试点期</w:t>
            </w:r>
          </w:p>
        </w:tc>
        <w:tc>
          <w:tcPr>
            <w:tcW w:w="1429" w:type="dxa"/>
            <w:vAlign w:val="center"/>
          </w:tcPr>
          <w:p w14:paraId="5BDE1B8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制度发布后第1-6个月</w:t>
            </w:r>
          </w:p>
        </w:tc>
        <w:tc>
          <w:tcPr>
            <w:tcW w:w="1450" w:type="dxa"/>
            <w:vAlign w:val="center"/>
          </w:tcPr>
          <w:p w14:paraId="30B9CA52">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2条路径 × 3-5人 = 6-10人</w:t>
            </w:r>
          </w:p>
        </w:tc>
        <w:tc>
          <w:tcPr>
            <w:tcW w:w="3085" w:type="dxa"/>
          </w:tcPr>
          <w:p w14:paraId="21CA33DA">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双导师月度回访、试点者月度1v1、试点中期（第3个月）进度检查</w:t>
            </w:r>
          </w:p>
        </w:tc>
        <w:tc>
          <w:tcPr>
            <w:tcW w:w="1728" w:type="dxa"/>
          </w:tcPr>
          <w:p w14:paraId="77C04408">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w:t>
            </w:r>
          </w:p>
        </w:tc>
      </w:tr>
      <w:tr w14:paraId="435781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8" w:type="dxa"/>
            <w:vAlign w:val="center"/>
          </w:tcPr>
          <w:p w14:paraId="4076AC40">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复盘决策期</w:t>
            </w:r>
          </w:p>
        </w:tc>
        <w:tc>
          <w:tcPr>
            <w:tcW w:w="1429" w:type="dxa"/>
            <w:vAlign w:val="center"/>
          </w:tcPr>
          <w:p w14:paraId="532D1DD9">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第6个月</w:t>
            </w:r>
          </w:p>
        </w:tc>
        <w:tc>
          <w:tcPr>
            <w:tcW w:w="1450" w:type="dxa"/>
            <w:vAlign w:val="center"/>
          </w:tcPr>
          <w:p w14:paraId="424574E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w:t>
            </w:r>
          </w:p>
        </w:tc>
        <w:tc>
          <w:tcPr>
            <w:tcW w:w="3085" w:type="dxa"/>
          </w:tcPr>
          <w:p w14:paraId="22D7B716">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试点者述职（每人30分钟向高管评审团汇报）、摩根汇总《试点复盘报告》、试点评估结果公示</w:t>
            </w:r>
          </w:p>
        </w:tc>
        <w:tc>
          <w:tcPr>
            <w:tcW w:w="1728" w:type="dxa"/>
            <w:vAlign w:val="center"/>
          </w:tcPr>
          <w:p w14:paraId="5FA9721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董事长主持试点复盘会，评估标准见下，决定是否启动第二批</w:t>
            </w:r>
          </w:p>
        </w:tc>
      </w:tr>
      <w:tr w14:paraId="5FCE68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8" w:type="dxa"/>
            <w:vAlign w:val="center"/>
          </w:tcPr>
          <w:p w14:paraId="6599EDDC">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第二批推广</w:t>
            </w:r>
          </w:p>
        </w:tc>
        <w:tc>
          <w:tcPr>
            <w:tcW w:w="1429" w:type="dxa"/>
            <w:vAlign w:val="center"/>
          </w:tcPr>
          <w:p w14:paraId="773C90A9">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第7-12个月</w:t>
            </w:r>
          </w:p>
        </w:tc>
        <w:tc>
          <w:tcPr>
            <w:tcW w:w="1450" w:type="dxa"/>
            <w:vAlign w:val="center"/>
          </w:tcPr>
          <w:p w14:paraId="5F68C109">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扩展至4-6条路径，覆盖30-50人</w:t>
            </w:r>
          </w:p>
        </w:tc>
        <w:tc>
          <w:tcPr>
            <w:tcW w:w="3085" w:type="dxa"/>
          </w:tcPr>
          <w:p w14:paraId="15E1AEC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新增路径启动、第二批人选匹配、首轮试点成功者转为"轮岗大使"内部传播</w:t>
            </w:r>
          </w:p>
        </w:tc>
        <w:tc>
          <w:tcPr>
            <w:tcW w:w="1728" w:type="dxa"/>
            <w:vAlign w:val="center"/>
          </w:tcPr>
          <w:p w14:paraId="1F5CD776">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人力资源部根据试点复盘会的决策执行</w:t>
            </w:r>
          </w:p>
        </w:tc>
      </w:tr>
      <w:tr w14:paraId="7C3AA3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48" w:type="dxa"/>
            <w:vAlign w:val="center"/>
          </w:tcPr>
          <w:p w14:paraId="36FB295F">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全面推行</w:t>
            </w:r>
          </w:p>
        </w:tc>
        <w:tc>
          <w:tcPr>
            <w:tcW w:w="1429" w:type="dxa"/>
            <w:vAlign w:val="center"/>
          </w:tcPr>
          <w:p w14:paraId="097F8389">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第2-3年</w:t>
            </w:r>
          </w:p>
        </w:tc>
        <w:tc>
          <w:tcPr>
            <w:tcW w:w="1450" w:type="dxa"/>
            <w:vAlign w:val="center"/>
          </w:tcPr>
          <w:p w14:paraId="6BFEED50">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覆盖关键岗位的50%以上</w:t>
            </w:r>
          </w:p>
        </w:tc>
        <w:tc>
          <w:tcPr>
            <w:tcW w:w="3085" w:type="dxa"/>
          </w:tcPr>
          <w:p w14:paraId="30FC4DC1">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纳入年度人才盘点常规流程、轮岗制度与晋升评议正式挂钩、轮岗经历成为总监级以上晋升的必要条件</w:t>
            </w:r>
          </w:p>
        </w:tc>
        <w:tc>
          <w:tcPr>
            <w:tcW w:w="1728" w:type="dxa"/>
            <w:vAlign w:val="center"/>
          </w:tcPr>
          <w:p w14:paraId="40E7A012">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纳入年度干部考评会议程</w:t>
            </w:r>
          </w:p>
        </w:tc>
      </w:tr>
    </w:tbl>
    <w:p w14:paraId="7A318DEB">
      <w:pPr>
        <w:pStyle w:val="6"/>
        <w:keepNext/>
        <w:keepLines/>
        <w:pageBreakBefore w:val="0"/>
        <w:widowControl/>
        <w:kinsoku/>
        <w:wordWrap/>
        <w:overflowPunct/>
        <w:topLinePunct w:val="0"/>
        <w:autoSpaceDE/>
        <w:autoSpaceDN/>
        <w:bidi w:val="0"/>
        <w:adjustRightInd/>
        <w:snapToGrid/>
        <w:spacing w:before="181" w:beforeLines="50" w:after="181" w:afterLines="5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lang w:val="en-US" w:eastAsia="zh-CN"/>
        </w:rPr>
        <w:t>3</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试点→推广的评估标准（董事长主持试点复盘会时的决策依据）：</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3"/>
        <w:gridCol w:w="7337"/>
      </w:tblGrid>
      <w:tr w14:paraId="7D1149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303" w:type="dxa"/>
          </w:tcPr>
          <w:p w14:paraId="5D0ABAAF">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评估维度</w:t>
            </w:r>
          </w:p>
        </w:tc>
        <w:tc>
          <w:tcPr>
            <w:tcW w:w="7337" w:type="dxa"/>
          </w:tcPr>
          <w:p w14:paraId="7B6B9F3A">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是否可推广的信号</w:t>
            </w:r>
          </w:p>
        </w:tc>
      </w:tr>
      <w:tr w14:paraId="2F6A6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4" w:hRule="atLeast"/>
          <w:jc w:val="center"/>
        </w:trPr>
        <w:tc>
          <w:tcPr>
            <w:tcW w:w="1303" w:type="dxa"/>
            <w:vAlign w:val="center"/>
          </w:tcPr>
          <w:p w14:paraId="209DB61A">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试点者绩效</w:t>
            </w:r>
          </w:p>
        </w:tc>
        <w:tc>
          <w:tcPr>
            <w:tcW w:w="7337" w:type="dxa"/>
          </w:tcPr>
          <w:p w14:paraId="03CFCC1C">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试点者在轮岗期间的绩效评估是否≥原岗位同期？接收部门对试点者的满意度是否≥80%？</w:t>
            </w:r>
          </w:p>
        </w:tc>
      </w:tr>
      <w:tr w14:paraId="2B17C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303" w:type="dxa"/>
            <w:vAlign w:val="center"/>
          </w:tcPr>
          <w:p w14:paraId="6BDC2A52">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业务影响</w:t>
            </w:r>
          </w:p>
        </w:tc>
        <w:tc>
          <w:tcPr>
            <w:tcW w:w="7337" w:type="dxa"/>
          </w:tcPr>
          <w:p w14:paraId="432BAC1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试点所在部门业务KPI是否未因人员轮换出现明显下滑？后备补充机制是否有效运转？</w:t>
            </w:r>
          </w:p>
        </w:tc>
      </w:tr>
      <w:tr w14:paraId="0F45CA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 w:hRule="atLeast"/>
          <w:jc w:val="center"/>
        </w:trPr>
        <w:tc>
          <w:tcPr>
            <w:tcW w:w="1303" w:type="dxa"/>
            <w:vAlign w:val="center"/>
          </w:tcPr>
          <w:p w14:paraId="4E4A6E81">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员工态度</w:t>
            </w:r>
          </w:p>
        </w:tc>
        <w:tc>
          <w:tcPr>
            <w:tcW w:w="7337" w:type="dxa"/>
          </w:tcPr>
          <w:p w14:paraId="233EE745">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试点启动时观望的员工，到第6个月是否有主动咨询"下一批什么时候"？自愿报名比例的变化趋势</w:t>
            </w:r>
          </w:p>
        </w:tc>
      </w:tr>
      <w:tr w14:paraId="1F543E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9" w:hRule="atLeast"/>
          <w:jc w:val="center"/>
        </w:trPr>
        <w:tc>
          <w:tcPr>
            <w:tcW w:w="1303" w:type="dxa"/>
            <w:vAlign w:val="center"/>
          </w:tcPr>
          <w:p w14:paraId="7691E1E2">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制度运行</w:t>
            </w:r>
          </w:p>
        </w:tc>
        <w:tc>
          <w:tcPr>
            <w:tcW w:w="7337" w:type="dxa"/>
          </w:tcPr>
          <w:p w14:paraId="38FD7460">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HR团队是否能独立处理试点中的操作问题（无须摩根每次到场）？制度条款中有几条被证明需要修订？</w:t>
            </w:r>
          </w:p>
        </w:tc>
      </w:tr>
    </w:tbl>
    <w:p w14:paraId="550A6548">
      <w:pPr>
        <w:pStyle w:val="6"/>
        <w:keepNext/>
        <w:keepLines/>
        <w:pageBreakBefore w:val="0"/>
        <w:widowControl/>
        <w:kinsoku/>
        <w:wordWrap/>
        <w:overflowPunct/>
        <w:topLinePunct w:val="0"/>
        <w:autoSpaceDE/>
        <w:autoSpaceDN/>
        <w:bidi w:val="0"/>
        <w:adjustRightInd/>
        <w:snapToGrid/>
        <w:spacing w:before="181" w:beforeLines="50" w:after="181" w:afterLines="50" w:line="520" w:lineRule="exact"/>
        <w:ind w:firstLine="560" w:firstLineChars="200"/>
        <w:textAlignment w:val="auto"/>
        <w:rPr>
          <w:rFonts w:hint="eastAsia" w:ascii="仿宋" w:hAnsi="仿宋" w:eastAsia="仿宋" w:cs="仿宋"/>
          <w:b w:val="0"/>
          <w:bCs w:val="0"/>
          <w:i w:val="0"/>
          <w:iCs w:val="0"/>
          <w:color w:val="auto"/>
          <w:sz w:val="28"/>
          <w:szCs w:val="28"/>
        </w:rPr>
      </w:pP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lang w:val="en-US" w:eastAsia="zh-CN"/>
        </w:rPr>
        <w:t>4</w:t>
      </w:r>
      <w:r>
        <w:rPr>
          <w:rFonts w:hint="eastAsia" w:ascii="仿宋" w:hAnsi="仿宋" w:eastAsia="仿宋" w:cs="仿宋"/>
          <w:b w:val="0"/>
          <w:bCs w:val="0"/>
          <w:i w:val="0"/>
          <w:iCs w:val="0"/>
          <w:color w:val="auto"/>
          <w:sz w:val="28"/>
          <w:szCs w:val="28"/>
          <w:lang w:eastAsia="zh-CN"/>
        </w:rPr>
        <w:t>）</w:t>
      </w:r>
      <w:r>
        <w:rPr>
          <w:rFonts w:hint="eastAsia" w:ascii="仿宋" w:hAnsi="仿宋" w:eastAsia="仿宋" w:cs="仿宋"/>
          <w:b w:val="0"/>
          <w:bCs w:val="0"/>
          <w:i w:val="0"/>
          <w:iCs w:val="0"/>
          <w:color w:val="auto"/>
          <w:sz w:val="28"/>
          <w:szCs w:val="28"/>
        </w:rPr>
        <w:t>推广逻辑的核心：不是靠行政命令摊派指标，而是让第一批试点者成为"活广告"——当公司同事看到轮岗回来的人被安排了更重要的位置，第二批报名自然从"要我去"变成"我要去"。</w:t>
      </w:r>
    </w:p>
    <w:p w14:paraId="3E7E8AAD">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zh-CN" w:bidi="ar-SA"/>
        </w:rPr>
        <w:t>（5）</w:t>
      </w:r>
      <w:r>
        <w:rPr>
          <w:rFonts w:hint="eastAsia" w:ascii="仿宋" w:hAnsi="仿宋" w:eastAsia="仿宋" w:cs="仿宋"/>
          <w:b w:val="0"/>
          <w:bCs w:val="0"/>
          <w:i w:val="0"/>
          <w:iCs w:val="0"/>
          <w:color w:val="auto"/>
          <w:sz w:val="28"/>
          <w:szCs w:val="28"/>
          <w:lang w:val="en-US" w:eastAsia="en-US" w:bidi="ar-SA"/>
        </w:rPr>
        <w:t>高管层的参与方式（D3汇报确认阶段与董事长沟通后确定）：</w:t>
      </w:r>
    </w:p>
    <w:p w14:paraId="18CB0391">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高管层的参与是轮岗制度落地的关键变量。具体参与方式（如高管是否率先参与轮岗体验、是否担任试点导师、在何种场合为制度背书）将在D3阶段结合董事长意见和当升科技内部决策文化确定，不在当前阶段预设。</w:t>
      </w:r>
    </w:p>
    <w:p w14:paraId="4553D84F">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试点述职的评审维度、复盘会议程设计、试点结果不理想的分级预案等操作细节，将在D3阶段结合业务部门意见征求的结果和董事长汇报的反馈，由摩根和当升HR团队在D4阶段联合落定。</w:t>
      </w:r>
    </w:p>
    <w:p w14:paraId="7A6855A6">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5. 阶段门禁与关键产出</w:t>
      </w:r>
    </w:p>
    <w:p w14:paraId="00F429C2">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《当升科技内部轮岗管理制度（草案）》（含跨界轮岗专章）</w:t>
      </w:r>
    </w:p>
    <w:p w14:paraId="54B6950E">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《轮岗激励衔接方案》</w:t>
      </w:r>
    </w:p>
    <w:p w14:paraId="0DDE0642">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《人力资源各模块衔接接口说明》</w:t>
      </w:r>
    </w:p>
    <w:p w14:paraId="78ED7654">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修改规则：摩根完成初稿→提交人力资源部获取第一轮反馈→最多修改两轮→确认后进入D3</w:t>
      </w:r>
    </w:p>
    <w:p w14:paraId="4AC4F149">
      <w:pPr>
        <w:keepNext w:val="0"/>
        <w:keepLines w:val="0"/>
        <w:pageBreakBefore w:val="0"/>
        <w:widowControl/>
        <w:kinsoku/>
        <w:wordWrap/>
        <w:overflowPunct/>
        <w:topLinePunct w:val="0"/>
        <w:autoSpaceDE/>
        <w:autoSpaceDN/>
        <w:bidi w:val="0"/>
        <w:adjustRightInd/>
        <w:snapToGrid/>
        <w:spacing w:after="0" w:line="520" w:lineRule="exact"/>
        <w:ind w:firstLine="562" w:firstLineChars="200"/>
        <w:textAlignment w:val="auto"/>
        <w:rPr>
          <w:rFonts w:hint="eastAsia" w:ascii="仿宋" w:hAnsi="仿宋" w:eastAsia="仿宋" w:cs="仿宋"/>
          <w:b/>
          <w:bCs/>
          <w:i w:val="0"/>
          <w:iCs w:val="0"/>
          <w:color w:val="auto"/>
          <w:sz w:val="28"/>
          <w:szCs w:val="28"/>
          <w:lang w:val="en-US" w:eastAsia="en-US" w:bidi="ar-SA"/>
        </w:rPr>
      </w:pPr>
      <w:r>
        <w:rPr>
          <w:rFonts w:hint="eastAsia" w:ascii="仿宋" w:hAnsi="仿宋" w:eastAsia="仿宋" w:cs="仿宋"/>
          <w:b/>
          <w:bCs/>
          <w:i w:val="0"/>
          <w:iCs w:val="0"/>
          <w:color w:val="auto"/>
          <w:sz w:val="28"/>
          <w:szCs w:val="28"/>
          <w:lang w:val="en-US" w:eastAsia="en-US" w:bidi="ar-SA"/>
        </w:rPr>
        <w:t>阶段三：</w:t>
      </w:r>
      <w:r>
        <w:rPr>
          <w:rFonts w:hint="default" w:ascii="Times New Roman" w:hAnsi="Times New Roman" w:eastAsia="仿宋" w:cs="Times New Roman"/>
          <w:b/>
          <w:bCs/>
          <w:i w:val="0"/>
          <w:iCs w:val="0"/>
          <w:color w:val="auto"/>
          <w:sz w:val="28"/>
          <w:szCs w:val="28"/>
          <w:lang w:val="en-US" w:eastAsia="en-US" w:bidi="ar-SA"/>
        </w:rPr>
        <w:t xml:space="preserve">Deliver </w:t>
      </w:r>
      <w:r>
        <w:rPr>
          <w:rFonts w:hint="eastAsia" w:ascii="仿宋" w:hAnsi="仿宋" w:eastAsia="仿宋" w:cs="仿宋"/>
          <w:b/>
          <w:bCs/>
          <w:i w:val="0"/>
          <w:iCs w:val="0"/>
          <w:color w:val="auto"/>
          <w:sz w:val="28"/>
          <w:szCs w:val="28"/>
          <w:lang w:val="en-US" w:eastAsia="en-US" w:bidi="ar-SA"/>
        </w:rPr>
        <w:t>汇报确认（第6-7周）</w:t>
      </w:r>
    </w:p>
    <w:p w14:paraId="5AE52456">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业务部门意见征求：安排2-3场专题沟通会，就制度可操作性、对业务的影响、津贴标准合理性、推出节奏征求各业务部门负责人意见</w:t>
      </w:r>
    </w:p>
    <w:p w14:paraId="39E10823">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董事长汇报：由人力资源部申请汇报时间，项目组共同参与。董事长一般一轮修改意见，项目组修改1-2轮，越快确认越好</w:t>
      </w:r>
    </w:p>
    <w:p w14:paraId="1DB36752">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en-US" w:bidi="ar-SA"/>
        </w:rPr>
        <w:t>关键产出：《当升科技内部轮岗管理制度（终审稿 · 董事长签字版）》</w:t>
      </w:r>
    </w:p>
    <w:p w14:paraId="2E354437">
      <w:pPr>
        <w:keepNext w:val="0"/>
        <w:keepLines w:val="0"/>
        <w:pageBreakBefore w:val="0"/>
        <w:widowControl/>
        <w:kinsoku/>
        <w:wordWrap/>
        <w:overflowPunct/>
        <w:topLinePunct w:val="0"/>
        <w:autoSpaceDE/>
        <w:autoSpaceDN/>
        <w:bidi w:val="0"/>
        <w:adjustRightInd/>
        <w:snapToGrid/>
        <w:spacing w:after="0" w:line="520" w:lineRule="exact"/>
        <w:ind w:firstLine="562" w:firstLineChars="200"/>
        <w:textAlignment w:val="auto"/>
        <w:rPr>
          <w:rFonts w:hint="eastAsia" w:ascii="仿宋" w:hAnsi="仿宋" w:eastAsia="仿宋" w:cs="仿宋"/>
          <w:b/>
          <w:bCs/>
          <w:i w:val="0"/>
          <w:iCs w:val="0"/>
          <w:color w:val="auto"/>
          <w:sz w:val="28"/>
          <w:szCs w:val="28"/>
          <w:lang w:val="en-US" w:eastAsia="en-US" w:bidi="ar-SA"/>
        </w:rPr>
      </w:pPr>
      <w:r>
        <w:rPr>
          <w:rFonts w:hint="eastAsia" w:ascii="仿宋" w:hAnsi="仿宋" w:eastAsia="仿宋" w:cs="仿宋"/>
          <w:b/>
          <w:bCs/>
          <w:i w:val="0"/>
          <w:iCs w:val="0"/>
          <w:color w:val="auto"/>
          <w:sz w:val="28"/>
          <w:szCs w:val="28"/>
          <w:lang w:val="en-US" w:eastAsia="en-US" w:bidi="ar-SA"/>
        </w:rPr>
        <w:t>阶段四：Deploy 宣导固化（第8-10周）</w:t>
      </w:r>
    </w:p>
    <w:p w14:paraId="7D41BB8C">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zh-CN" w:bidi="ar-SA"/>
        </w:rPr>
        <w:t>1、</w:t>
      </w:r>
      <w:r>
        <w:rPr>
          <w:rFonts w:hint="eastAsia" w:ascii="仿宋" w:hAnsi="仿宋" w:eastAsia="仿宋" w:cs="仿宋"/>
          <w:b w:val="0"/>
          <w:bCs w:val="0"/>
          <w:i w:val="0"/>
          <w:iCs w:val="0"/>
          <w:color w:val="auto"/>
          <w:sz w:val="28"/>
          <w:szCs w:val="28"/>
          <w:lang w:val="en-US" w:eastAsia="en-US" w:bidi="ar-SA"/>
        </w:rPr>
        <w:t>分层宣贯：HR团队先掌握规则（联合项目组成员协助带教未参与项目的HR）→面向全员制度宣贯</w:t>
      </w:r>
    </w:p>
    <w:p w14:paraId="7D93C5DE">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zh-CN" w:bidi="ar-SA"/>
        </w:rPr>
        <w:t>2、</w:t>
      </w:r>
      <w:r>
        <w:rPr>
          <w:rFonts w:hint="eastAsia" w:ascii="仿宋" w:hAnsi="仿宋" w:eastAsia="仿宋" w:cs="仿宋"/>
          <w:b w:val="0"/>
          <w:bCs w:val="0"/>
          <w:i w:val="0"/>
          <w:iCs w:val="0"/>
          <w:color w:val="auto"/>
          <w:sz w:val="28"/>
          <w:szCs w:val="28"/>
          <w:lang w:val="en-US" w:eastAsia="en-US" w:bidi="ar-SA"/>
        </w:rPr>
        <w:t>答疑辅导：人员筛选、协议签署等属于客户内部工作，摩根作为配角配合答疑。可每周预留半天沟通问题</w:t>
      </w:r>
    </w:p>
    <w:p w14:paraId="4FA0A556">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zh-CN" w:bidi="ar-SA"/>
        </w:rPr>
        <w:t>3、</w:t>
      </w:r>
      <w:r>
        <w:rPr>
          <w:rFonts w:hint="eastAsia" w:ascii="仿宋" w:hAnsi="仿宋" w:eastAsia="仿宋" w:cs="仿宋"/>
          <w:b w:val="0"/>
          <w:bCs w:val="0"/>
          <w:i w:val="0"/>
          <w:iCs w:val="0"/>
          <w:color w:val="auto"/>
          <w:sz w:val="28"/>
          <w:szCs w:val="28"/>
          <w:lang w:val="en-US" w:eastAsia="en-US" w:bidi="ar-SA"/>
        </w:rPr>
        <w:t>HR团队带教收尾：能力确认——确保当升HR团队具备独立运营轮岗制度的能力</w:t>
      </w:r>
    </w:p>
    <w:p w14:paraId="218F6FB1">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zh-CN" w:bidi="ar-SA"/>
        </w:rPr>
        <w:t>4、</w:t>
      </w:r>
      <w:r>
        <w:rPr>
          <w:rFonts w:hint="eastAsia" w:ascii="仿宋" w:hAnsi="仿宋" w:eastAsia="仿宋" w:cs="仿宋"/>
          <w:b w:val="0"/>
          <w:bCs w:val="0"/>
          <w:i w:val="0"/>
          <w:iCs w:val="0"/>
          <w:color w:val="auto"/>
          <w:sz w:val="28"/>
          <w:szCs w:val="28"/>
          <w:lang w:val="en-US" w:eastAsia="en-US" w:bidi="ar-SA"/>
        </w:rPr>
        <w:t>制度正式版定稿：以董事长签批稿为蓝本，根据宣导反馈优化完善，输出面向全员发布的正式版</w:t>
      </w:r>
    </w:p>
    <w:p w14:paraId="30DC5F97">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en-US" w:bidi="ar-SA"/>
        </w:rPr>
      </w:pPr>
      <w:r>
        <w:rPr>
          <w:rFonts w:hint="eastAsia" w:ascii="仿宋" w:hAnsi="仿宋" w:eastAsia="仿宋" w:cs="仿宋"/>
          <w:b w:val="0"/>
          <w:bCs w:val="0"/>
          <w:i w:val="0"/>
          <w:iCs w:val="0"/>
          <w:color w:val="auto"/>
          <w:sz w:val="28"/>
          <w:szCs w:val="28"/>
          <w:lang w:val="en-US" w:eastAsia="zh-CN" w:bidi="ar-SA"/>
        </w:rPr>
        <w:t>5、</w:t>
      </w:r>
      <w:r>
        <w:rPr>
          <w:rFonts w:hint="eastAsia" w:ascii="仿宋" w:hAnsi="仿宋" w:eastAsia="仿宋" w:cs="仿宋"/>
          <w:b w:val="0"/>
          <w:bCs w:val="0"/>
          <w:i w:val="0"/>
          <w:iCs w:val="0"/>
          <w:color w:val="auto"/>
          <w:sz w:val="28"/>
          <w:szCs w:val="28"/>
          <w:lang w:val="en-US" w:eastAsia="en-US" w:bidi="ar-SA"/>
        </w:rPr>
        <w:t>后续陪跑选项确认：详见第十一章后续合作路线图</w:t>
      </w:r>
    </w:p>
    <w:p w14:paraId="3E88D95B">
      <w:pPr>
        <w:pStyle w:val="5"/>
        <w:ind w:firstLine="560" w:firstLineChars="200"/>
        <w:rPr>
          <w:rFonts w:hint="eastAsia" w:ascii="仿宋" w:hAnsi="仿宋" w:eastAsia="仿宋" w:cs="仿宋"/>
          <w:color w:val="auto"/>
          <w:sz w:val="28"/>
          <w:szCs w:val="28"/>
        </w:rPr>
      </w:pPr>
      <w:r>
        <w:rPr>
          <w:rFonts w:hint="eastAsia" w:ascii="黑体" w:hAnsi="黑体" w:eastAsia="黑体" w:cs="黑体"/>
          <w:b w:val="0"/>
          <w:bCs w:val="0"/>
          <w:color w:val="auto"/>
          <w:sz w:val="28"/>
          <w:szCs w:val="28"/>
        </w:rPr>
        <w:t>四、整体项目路线图</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71"/>
        <w:gridCol w:w="1124"/>
        <w:gridCol w:w="4214"/>
        <w:gridCol w:w="1849"/>
      </w:tblGrid>
      <w:tr w14:paraId="23D15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9" w:hRule="atLeast"/>
          <w:jc w:val="center"/>
        </w:trPr>
        <w:tc>
          <w:tcPr>
            <w:tcW w:w="1471" w:type="dxa"/>
          </w:tcPr>
          <w:p w14:paraId="6290B8AA">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时间</w:t>
            </w:r>
          </w:p>
        </w:tc>
        <w:tc>
          <w:tcPr>
            <w:tcW w:w="1124" w:type="dxa"/>
          </w:tcPr>
          <w:p w14:paraId="3CA9B3A1">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主活动</w:t>
            </w:r>
          </w:p>
        </w:tc>
        <w:tc>
          <w:tcPr>
            <w:tcW w:w="4214" w:type="dxa"/>
          </w:tcPr>
          <w:p w14:paraId="70C8C35C">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具体工作</w:t>
            </w:r>
          </w:p>
        </w:tc>
        <w:tc>
          <w:tcPr>
            <w:tcW w:w="1849" w:type="dxa"/>
          </w:tcPr>
          <w:p w14:paraId="0ECCA5C3">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门禁/确认</w:t>
            </w:r>
          </w:p>
        </w:tc>
      </w:tr>
      <w:tr w14:paraId="06C557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23" w:hRule="atLeast"/>
          <w:jc w:val="center"/>
        </w:trPr>
        <w:tc>
          <w:tcPr>
            <w:tcW w:w="1471" w:type="dxa"/>
            <w:vAlign w:val="center"/>
          </w:tcPr>
          <w:p w14:paraId="31157635">
            <w:pPr>
              <w:spacing w:after="0" w:line="240" w:lineRule="auto"/>
              <w:jc w:val="both"/>
              <w:rPr>
                <w:rFonts w:hint="eastAsia" w:ascii="仿宋" w:hAnsi="仿宋" w:eastAsia="仿宋" w:cs="仿宋"/>
                <w:b w:val="0"/>
                <w:i w:val="0"/>
                <w:sz w:val="24"/>
                <w:szCs w:val="24"/>
              </w:rPr>
            </w:pPr>
            <w:r>
              <w:rPr>
                <w:rFonts w:hint="eastAsia" w:ascii="仿宋" w:hAnsi="仿宋" w:eastAsia="仿宋" w:cs="仿宋"/>
                <w:b w:val="0"/>
                <w:i w:val="0"/>
                <w:sz w:val="24"/>
                <w:szCs w:val="24"/>
              </w:rPr>
              <w:t>第1-2周</w:t>
            </w:r>
          </w:p>
          <w:p w14:paraId="55BD9588">
            <w:pPr>
              <w:spacing w:after="0" w:line="240" w:lineRule="auto"/>
              <w:jc w:val="both"/>
              <w:rPr>
                <w:rFonts w:hint="eastAsia" w:ascii="仿宋" w:hAnsi="仿宋" w:eastAsia="仿宋" w:cs="仿宋"/>
                <w:sz w:val="24"/>
                <w:szCs w:val="24"/>
              </w:rPr>
            </w:pPr>
            <w:r>
              <w:rPr>
                <w:rFonts w:hint="eastAsia" w:ascii="仿宋" w:hAnsi="仿宋" w:eastAsia="仿宋" w:cs="仿宋"/>
                <w:b/>
                <w:i w:val="0"/>
                <w:sz w:val="24"/>
                <w:szCs w:val="24"/>
              </w:rPr>
              <w:t>D1 诊断与确认</w:t>
            </w:r>
          </w:p>
        </w:tc>
        <w:tc>
          <w:tcPr>
            <w:tcW w:w="1124" w:type="dxa"/>
            <w:vAlign w:val="center"/>
          </w:tcPr>
          <w:p w14:paraId="7FFB0679">
            <w:pPr>
              <w:spacing w:after="0" w:line="240" w:lineRule="auto"/>
              <w:jc w:val="center"/>
              <w:rPr>
                <w:rFonts w:hint="eastAsia" w:ascii="仿宋" w:hAnsi="仿宋" w:eastAsia="仿宋" w:cs="仿宋"/>
                <w:sz w:val="24"/>
                <w:szCs w:val="24"/>
              </w:rPr>
            </w:pPr>
            <w:r>
              <w:rPr>
                <w:rFonts w:hint="eastAsia" w:ascii="仿宋" w:hAnsi="仿宋" w:eastAsia="仿宋" w:cs="仿宋"/>
                <w:b w:val="0"/>
                <w:i w:val="0"/>
                <w:sz w:val="24"/>
                <w:szCs w:val="24"/>
              </w:rPr>
              <w:t>调研诊断</w:t>
            </w:r>
          </w:p>
        </w:tc>
        <w:tc>
          <w:tcPr>
            <w:tcW w:w="4214" w:type="dxa"/>
            <w:vAlign w:val="center"/>
          </w:tcPr>
          <w:p w14:paraId="58DB82B9">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联合项目组组建 → 分层访谈（含董事长，3-5天）→ 48h内出速览简报 → 诊断分析 → 系统框架同步梳理</w:t>
            </w:r>
          </w:p>
        </w:tc>
        <w:tc>
          <w:tcPr>
            <w:tcW w:w="1849" w:type="dxa"/>
            <w:vAlign w:val="center"/>
          </w:tcPr>
          <w:p w14:paraId="5B6B1A1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 人力资源部确认访谈总结</w:t>
            </w:r>
          </w:p>
        </w:tc>
      </w:tr>
      <w:tr w14:paraId="2006AF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00" w:hRule="atLeast"/>
          <w:jc w:val="center"/>
        </w:trPr>
        <w:tc>
          <w:tcPr>
            <w:tcW w:w="1471" w:type="dxa"/>
            <w:vAlign w:val="center"/>
          </w:tcPr>
          <w:p w14:paraId="1114D69E">
            <w:pPr>
              <w:spacing w:after="0" w:line="240" w:lineRule="auto"/>
              <w:jc w:val="both"/>
              <w:rPr>
                <w:rFonts w:hint="eastAsia" w:ascii="仿宋" w:hAnsi="仿宋" w:eastAsia="仿宋" w:cs="仿宋"/>
                <w:b w:val="0"/>
                <w:i w:val="0"/>
                <w:sz w:val="24"/>
                <w:szCs w:val="24"/>
              </w:rPr>
            </w:pPr>
            <w:r>
              <w:rPr>
                <w:rFonts w:hint="eastAsia" w:ascii="仿宋" w:hAnsi="仿宋" w:eastAsia="仿宋" w:cs="仿宋"/>
                <w:b w:val="0"/>
                <w:i w:val="0"/>
                <w:sz w:val="24"/>
                <w:szCs w:val="24"/>
              </w:rPr>
              <w:t>第3-5周</w:t>
            </w:r>
          </w:p>
          <w:p w14:paraId="086B5B43">
            <w:pPr>
              <w:spacing w:after="0" w:line="240" w:lineRule="auto"/>
              <w:jc w:val="both"/>
              <w:rPr>
                <w:rFonts w:hint="eastAsia" w:ascii="仿宋" w:hAnsi="仿宋" w:eastAsia="仿宋" w:cs="仿宋"/>
                <w:sz w:val="24"/>
                <w:szCs w:val="24"/>
              </w:rPr>
            </w:pPr>
            <w:r>
              <w:rPr>
                <w:rFonts w:hint="eastAsia" w:ascii="仿宋" w:hAnsi="仿宋" w:eastAsia="仿宋" w:cs="仿宋"/>
                <w:b/>
                <w:i w:val="0"/>
                <w:sz w:val="24"/>
                <w:szCs w:val="24"/>
              </w:rPr>
              <w:t>D2 方案撰写</w:t>
            </w:r>
          </w:p>
        </w:tc>
        <w:tc>
          <w:tcPr>
            <w:tcW w:w="1124" w:type="dxa"/>
            <w:vAlign w:val="center"/>
          </w:tcPr>
          <w:p w14:paraId="17611563">
            <w:pPr>
              <w:spacing w:after="0" w:line="240" w:lineRule="auto"/>
              <w:jc w:val="center"/>
              <w:rPr>
                <w:rFonts w:hint="eastAsia" w:ascii="仿宋" w:hAnsi="仿宋" w:eastAsia="仿宋" w:cs="仿宋"/>
                <w:sz w:val="24"/>
                <w:szCs w:val="24"/>
              </w:rPr>
            </w:pPr>
            <w:r>
              <w:rPr>
                <w:rFonts w:hint="eastAsia" w:ascii="仿宋" w:hAnsi="仿宋" w:eastAsia="仿宋" w:cs="仿宋"/>
                <w:b w:val="0"/>
                <w:i w:val="0"/>
                <w:sz w:val="24"/>
                <w:szCs w:val="24"/>
              </w:rPr>
              <w:t>制度设计</w:t>
            </w:r>
          </w:p>
        </w:tc>
        <w:tc>
          <w:tcPr>
            <w:tcW w:w="4214" w:type="dxa"/>
            <w:vAlign w:val="center"/>
          </w:tcPr>
          <w:p w14:paraId="7207960D">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全公司轮岗制度设计（含跨界轮岗专章）→ 激励衔接方案 → 模块衔接接口设计 → 试点设计 → 提交人力资源部获取反馈</w:t>
            </w:r>
          </w:p>
        </w:tc>
        <w:tc>
          <w:tcPr>
            <w:tcW w:w="1849" w:type="dxa"/>
            <w:vAlign w:val="center"/>
          </w:tcPr>
          <w:p w14:paraId="0C69C4BC">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 人力资源部确认（≤2轮修改）</w:t>
            </w:r>
          </w:p>
        </w:tc>
      </w:tr>
      <w:tr w14:paraId="240B2C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0" w:hRule="atLeast"/>
          <w:jc w:val="center"/>
        </w:trPr>
        <w:tc>
          <w:tcPr>
            <w:tcW w:w="1471" w:type="dxa"/>
            <w:vAlign w:val="center"/>
          </w:tcPr>
          <w:p w14:paraId="7A65D17B">
            <w:pPr>
              <w:spacing w:after="0" w:line="240" w:lineRule="auto"/>
              <w:jc w:val="both"/>
              <w:rPr>
                <w:rFonts w:hint="eastAsia" w:ascii="仿宋" w:hAnsi="仿宋" w:eastAsia="仿宋" w:cs="仿宋"/>
                <w:b w:val="0"/>
                <w:i w:val="0"/>
                <w:sz w:val="24"/>
                <w:szCs w:val="24"/>
              </w:rPr>
            </w:pPr>
            <w:r>
              <w:rPr>
                <w:rFonts w:hint="eastAsia" w:ascii="仿宋" w:hAnsi="仿宋" w:eastAsia="仿宋" w:cs="仿宋"/>
                <w:b w:val="0"/>
                <w:i w:val="0"/>
                <w:sz w:val="24"/>
                <w:szCs w:val="24"/>
              </w:rPr>
              <w:t>第6-7周</w:t>
            </w:r>
          </w:p>
          <w:p w14:paraId="46CB9772">
            <w:pPr>
              <w:spacing w:after="0" w:line="240" w:lineRule="auto"/>
              <w:jc w:val="both"/>
              <w:rPr>
                <w:rFonts w:hint="eastAsia" w:ascii="仿宋" w:hAnsi="仿宋" w:eastAsia="仿宋" w:cs="仿宋"/>
                <w:sz w:val="24"/>
                <w:szCs w:val="24"/>
              </w:rPr>
            </w:pPr>
            <w:r>
              <w:rPr>
                <w:rFonts w:hint="eastAsia" w:ascii="仿宋" w:hAnsi="仿宋" w:eastAsia="仿宋" w:cs="仿宋"/>
                <w:b/>
                <w:i w:val="0"/>
                <w:sz w:val="24"/>
                <w:szCs w:val="24"/>
              </w:rPr>
              <w:t>D3 汇报确认</w:t>
            </w:r>
          </w:p>
        </w:tc>
        <w:tc>
          <w:tcPr>
            <w:tcW w:w="1124" w:type="dxa"/>
            <w:vAlign w:val="center"/>
          </w:tcPr>
          <w:p w14:paraId="56090546">
            <w:pPr>
              <w:spacing w:after="0" w:line="240" w:lineRule="auto"/>
              <w:jc w:val="center"/>
              <w:rPr>
                <w:rFonts w:hint="eastAsia" w:ascii="仿宋" w:hAnsi="仿宋" w:eastAsia="仿宋" w:cs="仿宋"/>
                <w:sz w:val="24"/>
                <w:szCs w:val="24"/>
              </w:rPr>
            </w:pPr>
            <w:r>
              <w:rPr>
                <w:rFonts w:hint="eastAsia" w:ascii="仿宋" w:hAnsi="仿宋" w:eastAsia="仿宋" w:cs="仿宋"/>
                <w:b w:val="0"/>
                <w:i w:val="0"/>
                <w:sz w:val="24"/>
                <w:szCs w:val="24"/>
              </w:rPr>
              <w:t>高层签批</w:t>
            </w:r>
          </w:p>
        </w:tc>
        <w:tc>
          <w:tcPr>
            <w:tcW w:w="4214" w:type="dxa"/>
            <w:vAlign w:val="center"/>
          </w:tcPr>
          <w:p w14:paraId="20989D7B">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业务部门意见征求（2-3场）→ 董事长汇报 → 修改1-2轮 → 方案终审稿签批</w:t>
            </w:r>
          </w:p>
        </w:tc>
        <w:tc>
          <w:tcPr>
            <w:tcW w:w="1849" w:type="dxa"/>
            <w:vAlign w:val="center"/>
          </w:tcPr>
          <w:p w14:paraId="7C7649D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 董事长签批确认</w:t>
            </w:r>
          </w:p>
        </w:tc>
      </w:tr>
      <w:tr w14:paraId="0A3EE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4" w:hRule="atLeast"/>
          <w:jc w:val="center"/>
        </w:trPr>
        <w:tc>
          <w:tcPr>
            <w:tcW w:w="1471" w:type="dxa"/>
          </w:tcPr>
          <w:p w14:paraId="55B6EC29">
            <w:pPr>
              <w:spacing w:after="0" w:line="240" w:lineRule="auto"/>
              <w:rPr>
                <w:rFonts w:hint="eastAsia" w:ascii="仿宋" w:hAnsi="仿宋" w:eastAsia="仿宋" w:cs="仿宋"/>
                <w:b w:val="0"/>
                <w:i w:val="0"/>
                <w:sz w:val="24"/>
                <w:szCs w:val="24"/>
              </w:rPr>
            </w:pPr>
            <w:r>
              <w:rPr>
                <w:rFonts w:hint="eastAsia" w:ascii="仿宋" w:hAnsi="仿宋" w:eastAsia="仿宋" w:cs="仿宋"/>
                <w:b w:val="0"/>
                <w:i w:val="0"/>
                <w:sz w:val="24"/>
                <w:szCs w:val="24"/>
              </w:rPr>
              <w:t>第8-10周</w:t>
            </w:r>
          </w:p>
          <w:p w14:paraId="4182E7D0">
            <w:pPr>
              <w:spacing w:after="0" w:line="240" w:lineRule="auto"/>
              <w:rPr>
                <w:rFonts w:hint="eastAsia" w:ascii="仿宋" w:hAnsi="仿宋" w:eastAsia="仿宋" w:cs="仿宋"/>
                <w:sz w:val="24"/>
                <w:szCs w:val="24"/>
              </w:rPr>
            </w:pPr>
            <w:r>
              <w:rPr>
                <w:rFonts w:hint="eastAsia" w:ascii="仿宋" w:hAnsi="仿宋" w:eastAsia="仿宋" w:cs="仿宋"/>
                <w:b/>
                <w:i w:val="0"/>
                <w:sz w:val="24"/>
                <w:szCs w:val="24"/>
              </w:rPr>
              <w:t>D4 宣导固化</w:t>
            </w:r>
          </w:p>
        </w:tc>
        <w:tc>
          <w:tcPr>
            <w:tcW w:w="1124" w:type="dxa"/>
          </w:tcPr>
          <w:p w14:paraId="1B3F952D">
            <w:pPr>
              <w:spacing w:after="0" w:line="240" w:lineRule="auto"/>
              <w:jc w:val="center"/>
              <w:rPr>
                <w:rFonts w:hint="eastAsia" w:ascii="仿宋" w:hAnsi="仿宋" w:eastAsia="仿宋" w:cs="仿宋"/>
                <w:sz w:val="24"/>
                <w:szCs w:val="24"/>
              </w:rPr>
            </w:pPr>
            <w:r>
              <w:rPr>
                <w:rFonts w:hint="eastAsia" w:ascii="仿宋" w:hAnsi="仿宋" w:eastAsia="仿宋" w:cs="仿宋"/>
                <w:b w:val="0"/>
                <w:i w:val="0"/>
                <w:sz w:val="24"/>
                <w:szCs w:val="24"/>
              </w:rPr>
              <w:t>落地推广</w:t>
            </w:r>
          </w:p>
        </w:tc>
        <w:tc>
          <w:tcPr>
            <w:tcW w:w="4214" w:type="dxa"/>
          </w:tcPr>
          <w:p w14:paraId="424846D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分层宣导（HR团队→全员）→ 答疑辅导 → HR专项小组带教收尾 → 制度正式版定稿 → 后续陪跑选项确认</w:t>
            </w:r>
          </w:p>
        </w:tc>
        <w:tc>
          <w:tcPr>
            <w:tcW w:w="1849" w:type="dxa"/>
          </w:tcPr>
          <w:p w14:paraId="645F5601">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制度正式发布</w:t>
            </w:r>
          </w:p>
        </w:tc>
      </w:tr>
    </w:tbl>
    <w:p w14:paraId="705DDE72">
      <w:pPr>
        <w:pStyle w:val="5"/>
        <w:ind w:firstLine="560" w:firstLineChars="200"/>
        <w:rPr>
          <w:rFonts w:hint="eastAsia" w:ascii="黑体" w:hAnsi="黑体" w:eastAsia="黑体" w:cs="黑体"/>
          <w:b w:val="0"/>
          <w:bCs w:val="0"/>
          <w:color w:val="auto"/>
          <w:sz w:val="28"/>
          <w:szCs w:val="28"/>
        </w:rPr>
      </w:pPr>
    </w:p>
    <w:p w14:paraId="5E83D8B9">
      <w:pPr>
        <w:pStyle w:val="5"/>
        <w:ind w:firstLine="560" w:firstLineChars="200"/>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五、项目成功的定义</w:t>
      </w:r>
    </w:p>
    <w:p w14:paraId="23C181B8">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制度发布只是起点。真正的成功是——有人真正动起来了，动了之后比不动之前更好，且这个过程不需要摩根一直在场。</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99"/>
        <w:gridCol w:w="3312"/>
        <w:gridCol w:w="3629"/>
      </w:tblGrid>
      <w:tr w14:paraId="70E1DF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5" w:hRule="atLeast"/>
          <w:jc w:val="center"/>
        </w:trPr>
        <w:tc>
          <w:tcPr>
            <w:tcW w:w="1699" w:type="dxa"/>
            <w:vAlign w:val="center"/>
          </w:tcPr>
          <w:p w14:paraId="772395A9">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时间节点</w:t>
            </w:r>
          </w:p>
        </w:tc>
        <w:tc>
          <w:tcPr>
            <w:tcW w:w="3312" w:type="dxa"/>
            <w:vAlign w:val="center"/>
          </w:tcPr>
          <w:p w14:paraId="03B896C0">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最低标准</w:t>
            </w:r>
          </w:p>
        </w:tc>
        <w:tc>
          <w:tcPr>
            <w:tcW w:w="3629" w:type="dxa"/>
            <w:vAlign w:val="center"/>
          </w:tcPr>
          <w:p w14:paraId="5425B288">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目标标准</w:t>
            </w:r>
          </w:p>
        </w:tc>
      </w:tr>
      <w:tr w14:paraId="0FA63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vAlign w:val="center"/>
          </w:tcPr>
          <w:p w14:paraId="55F4B8AE">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项目结束时（10周）</w:t>
            </w:r>
          </w:p>
        </w:tc>
        <w:tc>
          <w:tcPr>
            <w:tcW w:w="3312" w:type="dxa"/>
            <w:vAlign w:val="center"/>
          </w:tcPr>
          <w:p w14:paraId="7CD07C47">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轮岗制度经董事长签批正式发布；HR团队完成带教，可独立解读和操作制度</w:t>
            </w:r>
          </w:p>
        </w:tc>
        <w:tc>
          <w:tcPr>
            <w:tcW w:w="3629" w:type="dxa"/>
            <w:vAlign w:val="center"/>
          </w:tcPr>
          <w:p w14:paraId="1417DDB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首轮试点人选已确定、试点路径已规划、试点启动时间表已排定</w:t>
            </w:r>
          </w:p>
        </w:tc>
      </w:tr>
      <w:tr w14:paraId="5D7DC1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vAlign w:val="center"/>
          </w:tcPr>
          <w:p w14:paraId="6DD86A94">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项目后3个月</w:t>
            </w:r>
          </w:p>
        </w:tc>
        <w:tc>
          <w:tcPr>
            <w:tcW w:w="3312" w:type="dxa"/>
            <w:vAlign w:val="center"/>
          </w:tcPr>
          <w:p w14:paraId="593BCA5E">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首批试点（2条路径，6-10人）已启动；试点者月度回访正常进行</w:t>
            </w:r>
          </w:p>
        </w:tc>
        <w:tc>
          <w:tcPr>
            <w:tcW w:w="3629" w:type="dxa"/>
            <w:vAlign w:val="center"/>
          </w:tcPr>
          <w:p w14:paraId="0FF33C3A">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试点运行平稳，无退出案例；业务部门对试点给出正面反馈</w:t>
            </w:r>
          </w:p>
        </w:tc>
      </w:tr>
      <w:tr w14:paraId="57327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99" w:type="dxa"/>
            <w:vAlign w:val="center"/>
          </w:tcPr>
          <w:p w14:paraId="334BEB31">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项目后6-12个月</w:t>
            </w:r>
          </w:p>
        </w:tc>
        <w:tc>
          <w:tcPr>
            <w:tcW w:w="3312" w:type="dxa"/>
            <w:vAlign w:val="center"/>
          </w:tcPr>
          <w:p w14:paraId="116E512C">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首轮试点完成复盘；制度根据试点反馈完成一轮优化迭代</w:t>
            </w:r>
          </w:p>
        </w:tc>
        <w:tc>
          <w:tcPr>
            <w:tcW w:w="3629" w:type="dxa"/>
            <w:vAlign w:val="center"/>
          </w:tcPr>
          <w:p w14:paraId="2B24366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第二批轮岗自驱启动（不再依赖摩根推动）；轮岗经历开始纳入晋升评议的实质参考</w:t>
            </w:r>
          </w:p>
        </w:tc>
      </w:tr>
    </w:tbl>
    <w:p w14:paraId="363944D8">
      <w:pPr>
        <w:keepNext w:val="0"/>
        <w:keepLines w:val="0"/>
        <w:pageBreakBefore w:val="0"/>
        <w:widowControl/>
        <w:kinsoku/>
        <w:wordWrap/>
        <w:overflowPunct/>
        <w:topLinePunct w:val="0"/>
        <w:autoSpaceDE/>
        <w:autoSpaceDN/>
        <w:bidi w:val="0"/>
        <w:adjustRightInd/>
        <w:snapToGrid/>
        <w:spacing w:before="181" w:beforeLines="50" w:after="181" w:afterLines="50" w:line="520" w:lineRule="exact"/>
        <w:ind w:firstLine="562" w:firstLineChars="200"/>
        <w:textAlignment w:val="auto"/>
        <w:rPr>
          <w:rFonts w:hint="eastAsia" w:ascii="仿宋" w:hAnsi="仿宋" w:eastAsia="仿宋" w:cs="仿宋"/>
          <w:b/>
          <w:bCs/>
          <w:i w:val="0"/>
          <w:iCs w:val="0"/>
          <w:color w:val="auto"/>
          <w:sz w:val="28"/>
          <w:szCs w:val="28"/>
          <w:lang w:val="en-US" w:eastAsia="zh-CN" w:bidi="ar-SA"/>
        </w:rPr>
      </w:pPr>
      <w:r>
        <w:rPr>
          <w:rFonts w:hint="eastAsia" w:ascii="仿宋" w:hAnsi="仿宋" w:eastAsia="仿宋" w:cs="仿宋"/>
          <w:b/>
          <w:bCs/>
          <w:i w:val="0"/>
          <w:iCs w:val="0"/>
          <w:color w:val="auto"/>
          <w:sz w:val="28"/>
          <w:szCs w:val="28"/>
          <w:lang w:val="en-US" w:eastAsia="zh-CN" w:bidi="ar-SA"/>
        </w:rPr>
        <w:t>展望：轮岗制度运转起来之后</w:t>
      </w:r>
    </w:p>
    <w:p w14:paraId="1C698A78">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当制度成熟运转时，当升科技的人才流动将呈现这样的图景：</w:t>
      </w:r>
    </w:p>
    <w:p w14:paraId="68C891E0">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1、海外新基地需要人，不是临时"拉壮丁"，而是从后备池中按既定规则调配——人选已经在国内跨部门历练过，对海外挑战有基本准备</w:t>
      </w:r>
    </w:p>
    <w:p w14:paraId="0E53B6E9">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2、研发人员到生产一线轮岗回来后，设计方案时脑子里有产线的真实约束；财务人员从车间轮岗回来后，成本核算不再只是数字搬运</w:t>
      </w:r>
    </w:p>
    <w:p w14:paraId="354C18BF">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3、干部晋升评议时，"有没有跨部门经历"成为一个自然的问题，而不是一项需要特别解释的新政</w:t>
      </w:r>
    </w:p>
    <w:p w14:paraId="000E3563">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4、HR团队独立运转这套制度，摩根只在季度回访时了解进展、提供建议</w:t>
      </w:r>
    </w:p>
    <w:p w14:paraId="7C17C7FE">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5、对应本方案中一个具体的设计模块——后备池机制、跨界轮岗路径、晋升绑定规则、HR带教计划。摩根的角色是：用8-10周帮当升搭好这套规则底座，陪第一波试点跑通，然后退到幕后。</w:t>
      </w:r>
    </w:p>
    <w:p w14:paraId="68FC8A3C">
      <w:pPr>
        <w:pStyle w:val="5"/>
        <w:ind w:firstLine="560" w:firstLineChars="200"/>
        <w:rPr>
          <w:rFonts w:hint="eastAsia" w:ascii="黑体" w:hAnsi="黑体" w:eastAsia="黑体" w:cs="黑体"/>
          <w:b w:val="0"/>
          <w:bCs w:val="0"/>
          <w:color w:val="auto"/>
          <w:sz w:val="28"/>
          <w:szCs w:val="28"/>
        </w:rPr>
      </w:pPr>
    </w:p>
    <w:p w14:paraId="7D180DDA">
      <w:pPr>
        <w:pStyle w:val="5"/>
        <w:ind w:firstLine="560" w:firstLineChars="200"/>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六、推动制度落地的设计思路</w:t>
      </w:r>
    </w:p>
    <w:p w14:paraId="39E806E6">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轮岗制度要真正运转起来，需要在制度设计阶段就内置"如何被接受、如何被使用"的考量。以下为摩根在长期实践中形成的落地方法论——不是对当升科技内部情况的预判，而是制度设计本身应遵循的原则：</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95"/>
        <w:gridCol w:w="2611"/>
        <w:gridCol w:w="4656"/>
      </w:tblGrid>
      <w:tr w14:paraId="770E1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6" w:hRule="atLeast"/>
          <w:jc w:val="center"/>
        </w:trPr>
        <w:tc>
          <w:tcPr>
            <w:tcW w:w="1495" w:type="dxa"/>
            <w:vAlign w:val="center"/>
          </w:tcPr>
          <w:p w14:paraId="740255F1">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关键相关方</w:t>
            </w:r>
          </w:p>
        </w:tc>
        <w:tc>
          <w:tcPr>
            <w:tcW w:w="2611" w:type="dxa"/>
            <w:vAlign w:val="center"/>
          </w:tcPr>
          <w:p w14:paraId="21041810">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在落地中的角色</w:t>
            </w:r>
          </w:p>
        </w:tc>
        <w:tc>
          <w:tcPr>
            <w:tcW w:w="4656" w:type="dxa"/>
            <w:vAlign w:val="center"/>
          </w:tcPr>
          <w:p w14:paraId="4EFAEFBD">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制度设计中的内置保障</w:t>
            </w:r>
          </w:p>
        </w:tc>
      </w:tr>
      <w:tr w14:paraId="393FA6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402" w:hRule="atLeast"/>
          <w:jc w:val="center"/>
        </w:trPr>
        <w:tc>
          <w:tcPr>
            <w:tcW w:w="1495" w:type="dxa"/>
            <w:vAlign w:val="center"/>
          </w:tcPr>
          <w:p w14:paraId="2123739A">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高管层</w:t>
            </w:r>
          </w:p>
        </w:tc>
        <w:tc>
          <w:tcPr>
            <w:tcW w:w="2611" w:type="dxa"/>
            <w:vAlign w:val="center"/>
          </w:tcPr>
          <w:p w14:paraId="11329EF0">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制度的第一推动力——高管的态度决定全公司对轮岗的认真程度</w:t>
            </w:r>
          </w:p>
        </w:tc>
        <w:tc>
          <w:tcPr>
            <w:tcW w:w="4656" w:type="dxa"/>
            <w:vAlign w:val="center"/>
          </w:tcPr>
          <w:p w14:paraId="5B91CCA5">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制度设计中预留高管参与的方式（如率先体验短期轮岗、担任试点导师、在经营会上将轮岗与三年行动绑定表述），具体形式在D3阶段与董事长沟通确定</w:t>
            </w:r>
          </w:p>
        </w:tc>
      </w:tr>
      <w:tr w14:paraId="3D02C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0" w:hRule="atLeast"/>
          <w:jc w:val="center"/>
        </w:trPr>
        <w:tc>
          <w:tcPr>
            <w:tcW w:w="1495" w:type="dxa"/>
            <w:vAlign w:val="center"/>
          </w:tcPr>
          <w:p w14:paraId="50FA1FEF">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业务部门负责人</w:t>
            </w:r>
          </w:p>
        </w:tc>
        <w:tc>
          <w:tcPr>
            <w:tcW w:w="2611" w:type="dxa"/>
            <w:vAlign w:val="center"/>
          </w:tcPr>
          <w:p w14:paraId="4240A1C6">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轮岗者的输出方与接收方——需要看到"人流动起来对业务有什么好处"</w:t>
            </w:r>
          </w:p>
        </w:tc>
        <w:tc>
          <w:tcPr>
            <w:tcW w:w="4656" w:type="dxa"/>
            <w:vAlign w:val="center"/>
          </w:tcPr>
          <w:p w14:paraId="15DC42DD">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后备补充机制确保关键岗位不出现真空；试点从小范围开始（首批6-10人），不冲击现有业务节奏；制度设计中明确"接收方对轮岗者考核权重最大"，让接收方有动力认真投入</w:t>
            </w:r>
          </w:p>
        </w:tc>
      </w:tr>
      <w:tr w14:paraId="6BFC06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7" w:hRule="atLeast"/>
          <w:jc w:val="center"/>
        </w:trPr>
        <w:tc>
          <w:tcPr>
            <w:tcW w:w="1495" w:type="dxa"/>
            <w:vAlign w:val="center"/>
          </w:tcPr>
          <w:p w14:paraId="6DF9E55C">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潜在轮岗者</w:t>
            </w:r>
          </w:p>
        </w:tc>
        <w:tc>
          <w:tcPr>
            <w:tcW w:w="2611" w:type="dxa"/>
            <w:vAlign w:val="center"/>
          </w:tcPr>
          <w:p w14:paraId="78CF816B">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制度的使用者——需要确认"轮岗对我意味着什么"</w:t>
            </w:r>
          </w:p>
        </w:tc>
        <w:tc>
          <w:tcPr>
            <w:tcW w:w="4656" w:type="dxa"/>
            <w:vAlign w:val="center"/>
          </w:tcPr>
          <w:p w14:paraId="541C5C9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薪酬保障（保留原薪标准）、回程安置（双通道选择）、晋升绑定（轮岗=后备干部信号）、首轮试点自愿报名——用第一批人的真实经历建立口碑</w:t>
            </w:r>
          </w:p>
        </w:tc>
      </w:tr>
      <w:tr w14:paraId="21C965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8" w:hRule="atLeast"/>
          <w:jc w:val="center"/>
        </w:trPr>
        <w:tc>
          <w:tcPr>
            <w:tcW w:w="1495" w:type="dxa"/>
            <w:vAlign w:val="center"/>
          </w:tcPr>
          <w:p w14:paraId="5081F2E6">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HR团队</w:t>
            </w:r>
          </w:p>
        </w:tc>
        <w:tc>
          <w:tcPr>
            <w:tcW w:w="2611" w:type="dxa"/>
            <w:vAlign w:val="center"/>
          </w:tcPr>
          <w:p w14:paraId="6ACF39FA">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制度的长期运营者——需要具备独立运转这套制度的能力</w:t>
            </w:r>
          </w:p>
        </w:tc>
        <w:tc>
          <w:tcPr>
            <w:tcW w:w="4656" w:type="dxa"/>
            <w:vAlign w:val="center"/>
          </w:tcPr>
          <w:p w14:paraId="31F2C7C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联合项目组全程带教（"做中学"）；制度文档与决策依据完整移交；摩根后续答疑兜底；D4阶段交付推行工具包</w:t>
            </w:r>
          </w:p>
        </w:tc>
      </w:tr>
    </w:tbl>
    <w:p w14:paraId="7ECF29BB">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核心原则：制度设计不止于"写出一份文件"，而是让每个相关方在制度中找到"为什么我要配合"的答案。 摩根的角色是与当升HR团队一起完成这个设计过程，确保制度发布时，各方的参与路径已经清晰。</w:t>
      </w:r>
    </w:p>
    <w:p w14:paraId="2EBCA852">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HR推行工具包（D4阶段配套交付）</w:t>
      </w:r>
    </w:p>
    <w:p w14:paraId="4112C14E">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面向业务部门负责人的沟通话术、常见问题应答参考、试点经验内部传播方案等推行工具，将在D4宣导阶段由摩根项目组与当升HR团队基于试点实际进展和当升内部沟通文化共同设计，作为制度正式版的配套操作手册交付。</w:t>
      </w:r>
    </w:p>
    <w:p w14:paraId="33C4A103">
      <w:pPr>
        <w:pStyle w:val="4"/>
        <w:keepNext/>
        <w:keepLines/>
        <w:pageBreakBefore w:val="0"/>
        <w:widowControl/>
        <w:kinsoku/>
        <w:wordWrap/>
        <w:overflowPunct/>
        <w:topLinePunct w:val="0"/>
        <w:autoSpaceDE/>
        <w:autoSpaceDN/>
        <w:bidi w:val="0"/>
        <w:adjustRightInd/>
        <w:snapToGrid/>
        <w:spacing w:before="0" w:line="520" w:lineRule="exact"/>
        <w:ind w:firstLine="560" w:firstLineChars="200"/>
        <w:textAlignment w:val="auto"/>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七、项目交付质量保障体系</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22"/>
        <w:gridCol w:w="7437"/>
      </w:tblGrid>
      <w:tr w14:paraId="72A0E5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05" w:hRule="atLeast"/>
          <w:jc w:val="center"/>
        </w:trPr>
        <w:tc>
          <w:tcPr>
            <w:tcW w:w="1222" w:type="dxa"/>
            <w:vAlign w:val="center"/>
          </w:tcPr>
          <w:p w14:paraId="490A329E">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保障维度</w:t>
            </w:r>
          </w:p>
        </w:tc>
        <w:tc>
          <w:tcPr>
            <w:tcW w:w="7437" w:type="dxa"/>
            <w:vAlign w:val="center"/>
          </w:tcPr>
          <w:p w14:paraId="3A56CAE1">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措施</w:t>
            </w:r>
          </w:p>
        </w:tc>
      </w:tr>
      <w:tr w14:paraId="3262A9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222" w:type="dxa"/>
            <w:vAlign w:val="center"/>
          </w:tcPr>
          <w:p w14:paraId="721DEA65">
            <w:pPr>
              <w:spacing w:after="0" w:line="240" w:lineRule="auto"/>
              <w:jc w:val="center"/>
              <w:rPr>
                <w:rFonts w:hint="eastAsia" w:ascii="仿宋" w:hAnsi="仿宋" w:eastAsia="仿宋" w:cs="仿宋"/>
                <w:b w:val="0"/>
                <w:bCs/>
                <w:sz w:val="24"/>
                <w:szCs w:val="24"/>
              </w:rPr>
            </w:pPr>
            <w:r>
              <w:rPr>
                <w:rFonts w:hint="eastAsia" w:ascii="仿宋" w:hAnsi="仿宋" w:eastAsia="仿宋" w:cs="仿宋"/>
                <w:b w:val="0"/>
                <w:bCs/>
                <w:i w:val="0"/>
                <w:sz w:val="24"/>
                <w:szCs w:val="24"/>
              </w:rPr>
              <w:t>进度</w:t>
            </w:r>
          </w:p>
        </w:tc>
        <w:tc>
          <w:tcPr>
            <w:tcW w:w="7437" w:type="dxa"/>
          </w:tcPr>
          <w:p w14:paraId="37393A88">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整体8-10周，每阶段固定时间窗口；每周1-2天现场办公（关键节点增至2-3天）；修改轮次上限+阶段门禁防止项目失控</w:t>
            </w:r>
          </w:p>
        </w:tc>
      </w:tr>
      <w:tr w14:paraId="314A13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222" w:type="dxa"/>
            <w:vAlign w:val="center"/>
          </w:tcPr>
          <w:p w14:paraId="13D5361B">
            <w:pPr>
              <w:spacing w:after="0" w:line="240" w:lineRule="auto"/>
              <w:jc w:val="center"/>
              <w:rPr>
                <w:rFonts w:hint="eastAsia" w:ascii="仿宋" w:hAnsi="仿宋" w:eastAsia="仿宋" w:cs="仿宋"/>
                <w:b w:val="0"/>
                <w:bCs/>
                <w:sz w:val="24"/>
                <w:szCs w:val="24"/>
              </w:rPr>
            </w:pPr>
            <w:r>
              <w:rPr>
                <w:rFonts w:hint="eastAsia" w:ascii="仿宋" w:hAnsi="仿宋" w:eastAsia="仿宋" w:cs="仿宋"/>
                <w:b w:val="0"/>
                <w:bCs/>
                <w:i w:val="0"/>
                <w:sz w:val="24"/>
                <w:szCs w:val="24"/>
              </w:rPr>
              <w:t>质量</w:t>
            </w:r>
          </w:p>
        </w:tc>
        <w:tc>
          <w:tcPr>
            <w:tcW w:w="7437" w:type="dxa"/>
          </w:tcPr>
          <w:p w14:paraId="4130D90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项目总监全程把控方向；双专家配置（制度设计专家+系统咨询方法论专家）交叉校验；每阶段关键产出物达标才算完成</w:t>
            </w:r>
          </w:p>
        </w:tc>
      </w:tr>
      <w:tr w14:paraId="2FB5E8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36" w:hRule="atLeast"/>
          <w:jc w:val="center"/>
        </w:trPr>
        <w:tc>
          <w:tcPr>
            <w:tcW w:w="1222" w:type="dxa"/>
            <w:vAlign w:val="center"/>
          </w:tcPr>
          <w:p w14:paraId="41EE9502">
            <w:pPr>
              <w:spacing w:after="0" w:line="240" w:lineRule="auto"/>
              <w:jc w:val="center"/>
              <w:rPr>
                <w:rFonts w:hint="eastAsia" w:ascii="仿宋" w:hAnsi="仿宋" w:eastAsia="仿宋" w:cs="仿宋"/>
                <w:b w:val="0"/>
                <w:bCs/>
                <w:sz w:val="24"/>
                <w:szCs w:val="24"/>
              </w:rPr>
            </w:pPr>
            <w:r>
              <w:rPr>
                <w:rFonts w:hint="eastAsia" w:ascii="仿宋" w:hAnsi="仿宋" w:eastAsia="仿宋" w:cs="仿宋"/>
                <w:b w:val="0"/>
                <w:bCs/>
                <w:i w:val="0"/>
                <w:sz w:val="24"/>
                <w:szCs w:val="24"/>
              </w:rPr>
              <w:t>沟通</w:t>
            </w:r>
          </w:p>
        </w:tc>
        <w:tc>
          <w:tcPr>
            <w:tcW w:w="7437" w:type="dxa"/>
          </w:tcPr>
          <w:p w14:paraId="4D98F155">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联合项目组确保信息不经过滤；关键节点书面确认避免口头偏差；出现分歧以董事长最终意见为准</w:t>
            </w:r>
          </w:p>
        </w:tc>
      </w:tr>
      <w:tr w14:paraId="271AFF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6" w:hRule="atLeast"/>
          <w:jc w:val="center"/>
        </w:trPr>
        <w:tc>
          <w:tcPr>
            <w:tcW w:w="1222" w:type="dxa"/>
            <w:vAlign w:val="center"/>
          </w:tcPr>
          <w:p w14:paraId="6E9B0F79">
            <w:pPr>
              <w:spacing w:after="0" w:line="240" w:lineRule="auto"/>
              <w:jc w:val="center"/>
              <w:rPr>
                <w:rFonts w:hint="eastAsia" w:ascii="仿宋" w:hAnsi="仿宋" w:eastAsia="仿宋" w:cs="仿宋"/>
                <w:b w:val="0"/>
                <w:bCs/>
                <w:sz w:val="24"/>
                <w:szCs w:val="24"/>
              </w:rPr>
            </w:pPr>
            <w:r>
              <w:rPr>
                <w:rFonts w:hint="eastAsia" w:ascii="仿宋" w:hAnsi="仿宋" w:eastAsia="仿宋" w:cs="仿宋"/>
                <w:b w:val="0"/>
                <w:bCs/>
                <w:i w:val="0"/>
                <w:sz w:val="24"/>
                <w:szCs w:val="24"/>
              </w:rPr>
              <w:t>落地</w:t>
            </w:r>
          </w:p>
        </w:tc>
        <w:tc>
          <w:tcPr>
            <w:tcW w:w="7437" w:type="dxa"/>
          </w:tcPr>
          <w:p w14:paraId="1232483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HR专项小组能力内化；制度文档+决策依据完整移交；分层宣导降低推行阻力；可选后续支持兜底</w:t>
            </w:r>
          </w:p>
        </w:tc>
      </w:tr>
    </w:tbl>
    <w:p w14:paraId="1DDA98CB"/>
    <w:p w14:paraId="0D87A5E8">
      <w:pPr>
        <w:pStyle w:val="4"/>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八、项目团队</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38"/>
        <w:gridCol w:w="1276"/>
        <w:gridCol w:w="6026"/>
      </w:tblGrid>
      <w:tr w14:paraId="7275CD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338" w:type="dxa"/>
          </w:tcPr>
          <w:p w14:paraId="130C97D4">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角色</w:t>
            </w:r>
          </w:p>
        </w:tc>
        <w:tc>
          <w:tcPr>
            <w:tcW w:w="1276" w:type="dxa"/>
          </w:tcPr>
          <w:p w14:paraId="2F0CFC18">
            <w:pPr>
              <w:spacing w:after="0" w:line="240" w:lineRule="auto"/>
              <w:rPr>
                <w:rFonts w:hint="eastAsia" w:ascii="黑体" w:hAnsi="黑体" w:eastAsia="黑体" w:cs="黑体"/>
                <w:b w:val="0"/>
                <w:bCs/>
                <w:sz w:val="24"/>
                <w:szCs w:val="24"/>
                <w:lang w:eastAsia="zh-CN"/>
              </w:rPr>
            </w:pPr>
            <w:r>
              <w:rPr>
                <w:rFonts w:hint="eastAsia" w:ascii="黑体" w:hAnsi="黑体" w:eastAsia="黑体" w:cs="黑体"/>
                <w:b w:val="0"/>
                <w:bCs/>
                <w:i w:val="0"/>
                <w:sz w:val="24"/>
                <w:szCs w:val="24"/>
                <w:lang w:val="en-US" w:eastAsia="zh-CN"/>
              </w:rPr>
              <w:t>姓名</w:t>
            </w:r>
          </w:p>
        </w:tc>
        <w:tc>
          <w:tcPr>
            <w:tcW w:w="6026" w:type="dxa"/>
          </w:tcPr>
          <w:p w14:paraId="5AD69885">
            <w:pPr>
              <w:spacing w:after="0" w:line="240" w:lineRule="auto"/>
              <w:rPr>
                <w:rFonts w:hint="eastAsia" w:ascii="黑体" w:hAnsi="黑体" w:eastAsia="黑体" w:cs="黑体"/>
                <w:b w:val="0"/>
                <w:bCs/>
                <w:sz w:val="24"/>
                <w:szCs w:val="24"/>
              </w:rPr>
            </w:pPr>
            <w:r>
              <w:rPr>
                <w:rFonts w:hint="eastAsia" w:ascii="黑体" w:hAnsi="黑体" w:eastAsia="黑体" w:cs="黑体"/>
                <w:b w:val="0"/>
                <w:bCs/>
                <w:i w:val="0"/>
                <w:sz w:val="24"/>
                <w:szCs w:val="24"/>
              </w:rPr>
              <w:t>职责</w:t>
            </w:r>
          </w:p>
        </w:tc>
      </w:tr>
      <w:tr w14:paraId="4BC6EB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0" w:hRule="atLeast"/>
          <w:jc w:val="center"/>
        </w:trPr>
        <w:tc>
          <w:tcPr>
            <w:tcW w:w="1338" w:type="dxa"/>
            <w:vAlign w:val="center"/>
          </w:tcPr>
          <w:p w14:paraId="0D44BEB2">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项目总监</w:t>
            </w:r>
          </w:p>
        </w:tc>
        <w:tc>
          <w:tcPr>
            <w:tcW w:w="1276" w:type="dxa"/>
          </w:tcPr>
          <w:p w14:paraId="3AF99A2A">
            <w:pPr>
              <w:spacing w:after="0" w:line="240" w:lineRule="auto"/>
              <w:rPr>
                <w:rFonts w:hint="default" w:ascii="仿宋" w:hAnsi="仿宋" w:eastAsia="仿宋" w:cs="仿宋"/>
                <w:sz w:val="24"/>
                <w:szCs w:val="24"/>
                <w:lang w:val="en-US" w:eastAsia="zh-CN"/>
              </w:rPr>
            </w:pPr>
            <w:r>
              <w:rPr>
                <w:rFonts w:hint="eastAsia" w:ascii="仿宋" w:hAnsi="仿宋" w:eastAsia="仿宋" w:cs="仿宋"/>
                <w:b w:val="0"/>
                <w:i w:val="0"/>
                <w:sz w:val="24"/>
                <w:szCs w:val="24"/>
                <w:lang w:val="en-US" w:eastAsia="zh-CN"/>
              </w:rPr>
              <w:t>李京</w:t>
            </w:r>
          </w:p>
        </w:tc>
        <w:tc>
          <w:tcPr>
            <w:tcW w:w="6026" w:type="dxa"/>
          </w:tcPr>
          <w:p w14:paraId="015C7044">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总体方案把控、客户高层沟通、质量监督</w:t>
            </w:r>
          </w:p>
        </w:tc>
      </w:tr>
      <w:tr w14:paraId="3C045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1338" w:type="dxa"/>
            <w:vAlign w:val="center"/>
          </w:tcPr>
          <w:p w14:paraId="3ECF9E04">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项目专家</w:t>
            </w:r>
          </w:p>
        </w:tc>
        <w:tc>
          <w:tcPr>
            <w:tcW w:w="1276" w:type="dxa"/>
            <w:vAlign w:val="center"/>
          </w:tcPr>
          <w:p w14:paraId="6ABFDF16">
            <w:pPr>
              <w:spacing w:after="0" w:line="240" w:lineRule="auto"/>
              <w:jc w:val="both"/>
              <w:rPr>
                <w:rFonts w:hint="default" w:ascii="仿宋" w:hAnsi="仿宋" w:eastAsia="仿宋" w:cs="仿宋"/>
                <w:sz w:val="24"/>
                <w:szCs w:val="24"/>
                <w:lang w:val="en-US" w:eastAsia="zh-CN"/>
              </w:rPr>
            </w:pPr>
            <w:r>
              <w:rPr>
                <w:rFonts w:hint="eastAsia" w:ascii="仿宋" w:hAnsi="仿宋" w:eastAsia="仿宋" w:cs="仿宋"/>
                <w:sz w:val="24"/>
                <w:szCs w:val="24"/>
                <w:lang w:val="en-US" w:eastAsia="zh-CN"/>
              </w:rPr>
              <w:t>夏楠、秦曼</w:t>
            </w:r>
          </w:p>
        </w:tc>
        <w:tc>
          <w:tcPr>
            <w:tcW w:w="6026" w:type="dxa"/>
          </w:tcPr>
          <w:p w14:paraId="781CDC81">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制度设计与撰写、专题研讨主持（从摩根专家库按需匹配人才制度方向、薪酬激励方向专家）</w:t>
            </w:r>
          </w:p>
        </w:tc>
      </w:tr>
      <w:tr w14:paraId="0CF865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9" w:hRule="atLeast"/>
          <w:jc w:val="center"/>
        </w:trPr>
        <w:tc>
          <w:tcPr>
            <w:tcW w:w="1338" w:type="dxa"/>
            <w:vAlign w:val="center"/>
          </w:tcPr>
          <w:p w14:paraId="11377A95">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项目顾问</w:t>
            </w:r>
          </w:p>
        </w:tc>
        <w:tc>
          <w:tcPr>
            <w:tcW w:w="1276" w:type="dxa"/>
            <w:vAlign w:val="center"/>
          </w:tcPr>
          <w:p w14:paraId="504F63F9">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袁淑萍</w:t>
            </w:r>
          </w:p>
        </w:tc>
        <w:tc>
          <w:tcPr>
            <w:tcW w:w="6026" w:type="dxa"/>
          </w:tcPr>
          <w:p w14:paraId="6C481860">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方法论指导、关键节点质量把关（袁淑萍老师，原安永高级合伙人，18年国际人力资本咨询经验）</w:t>
            </w:r>
          </w:p>
        </w:tc>
      </w:tr>
      <w:tr w14:paraId="55ED9C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3" w:hRule="atLeast"/>
          <w:jc w:val="center"/>
        </w:trPr>
        <w:tc>
          <w:tcPr>
            <w:tcW w:w="1338" w:type="dxa"/>
            <w:vAlign w:val="center"/>
          </w:tcPr>
          <w:p w14:paraId="2EF526B0">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项目执行</w:t>
            </w:r>
          </w:p>
        </w:tc>
        <w:tc>
          <w:tcPr>
            <w:tcW w:w="1276" w:type="dxa"/>
            <w:vAlign w:val="center"/>
          </w:tcPr>
          <w:p w14:paraId="4605648D">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1-2人</w:t>
            </w:r>
          </w:p>
        </w:tc>
        <w:tc>
          <w:tcPr>
            <w:tcW w:w="6026" w:type="dxa"/>
          </w:tcPr>
          <w:p w14:paraId="6854B168">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日常协调、访谈安排、文档整理、材料准备</w:t>
            </w:r>
          </w:p>
        </w:tc>
      </w:tr>
    </w:tbl>
    <w:p w14:paraId="4EC6F28F">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与客户方协作：客户方人力资源部为对接方，与摩根组建联合项目组全程协同。建议人力资源部组建"内部专项小组"，由HR骨干组成，作为制度落地与推广的核心力量。</w:t>
      </w:r>
    </w:p>
    <w:p w14:paraId="15AD41C4">
      <w:pPr>
        <w:pStyle w:val="4"/>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黑体" w:hAnsi="黑体" w:eastAsia="黑体" w:cs="黑体"/>
          <w:b w:val="0"/>
          <w:bCs w:val="0"/>
          <w:color w:val="auto"/>
          <w:sz w:val="28"/>
          <w:szCs w:val="28"/>
        </w:rPr>
      </w:pPr>
    </w:p>
    <w:p w14:paraId="4F233618">
      <w:pPr>
        <w:pStyle w:val="4"/>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九、项目周期与投入</w:t>
      </w:r>
    </w:p>
    <w:p w14:paraId="6062C56B">
      <w:pPr>
        <w:pStyle w:val="5"/>
        <w:ind w:firstLine="562" w:firstLineChars="200"/>
        <w:rPr>
          <w:rFonts w:hint="eastAsia" w:ascii="仿宋" w:hAnsi="仿宋" w:eastAsia="仿宋" w:cs="仿宋"/>
          <w:color w:val="auto"/>
          <w:sz w:val="28"/>
          <w:szCs w:val="28"/>
        </w:rPr>
      </w:pP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lang w:val="en-US" w:eastAsia="zh-CN"/>
        </w:rPr>
        <w:t>一</w:t>
      </w:r>
      <w:r>
        <w:rPr>
          <w:rFonts w:hint="eastAsia" w:ascii="仿宋" w:hAnsi="仿宋" w:eastAsia="仿宋" w:cs="仿宋"/>
          <w:color w:val="auto"/>
          <w:sz w:val="28"/>
          <w:szCs w:val="28"/>
          <w:lang w:eastAsia="zh-CN"/>
        </w:rPr>
        <w:t>）</w:t>
      </w:r>
      <w:r>
        <w:rPr>
          <w:rFonts w:hint="eastAsia" w:ascii="仿宋" w:hAnsi="仿宋" w:eastAsia="仿宋" w:cs="仿宋"/>
          <w:color w:val="auto"/>
          <w:sz w:val="28"/>
          <w:szCs w:val="28"/>
        </w:rPr>
        <w:t>两阶段独立报价</w:t>
      </w:r>
    </w:p>
    <w:p w14:paraId="00F16563">
      <w:pPr>
        <w:ind w:firstLine="560" w:firstLineChars="200"/>
        <w:rPr>
          <w:rFonts w:hint="eastAsia" w:ascii="仿宋" w:hAnsi="仿宋" w:eastAsia="仿宋" w:cs="仿宋"/>
          <w:sz w:val="28"/>
          <w:szCs w:val="28"/>
        </w:rPr>
      </w:pPr>
      <w:r>
        <w:rPr>
          <w:rFonts w:hint="eastAsia" w:ascii="仿宋" w:hAnsi="仿宋" w:eastAsia="仿宋" w:cs="仿宋"/>
          <w:sz w:val="28"/>
          <w:szCs w:val="28"/>
        </w:rPr>
        <w:t>客户可按阶段签约，无需一次性承诺全部：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8"/>
        <w:gridCol w:w="2852"/>
        <w:gridCol w:w="2160"/>
        <w:gridCol w:w="2160"/>
      </w:tblGrid>
      <w:tr w14:paraId="11B2F1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8" w:type="dxa"/>
            <w:vAlign w:val="center"/>
          </w:tcPr>
          <w:p w14:paraId="450B0A64">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阶段</w:t>
            </w:r>
          </w:p>
        </w:tc>
        <w:tc>
          <w:tcPr>
            <w:tcW w:w="2852" w:type="dxa"/>
            <w:vAlign w:val="center"/>
          </w:tcPr>
          <w:p w14:paraId="39C844BC">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覆盖内容</w:t>
            </w:r>
          </w:p>
        </w:tc>
        <w:tc>
          <w:tcPr>
            <w:tcW w:w="2160" w:type="dxa"/>
            <w:vAlign w:val="center"/>
          </w:tcPr>
          <w:p w14:paraId="450551BB">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参考课时</w:t>
            </w:r>
          </w:p>
        </w:tc>
        <w:tc>
          <w:tcPr>
            <w:tcW w:w="2160" w:type="dxa"/>
            <w:vAlign w:val="center"/>
          </w:tcPr>
          <w:p w14:paraId="322EC322">
            <w:pPr>
              <w:spacing w:after="0" w:line="240" w:lineRule="auto"/>
              <w:jc w:val="both"/>
              <w:rPr>
                <w:rFonts w:hint="eastAsia" w:ascii="黑体" w:hAnsi="黑体" w:eastAsia="黑体" w:cs="黑体"/>
                <w:b w:val="0"/>
                <w:bCs/>
                <w:sz w:val="24"/>
                <w:szCs w:val="24"/>
              </w:rPr>
            </w:pPr>
            <w:r>
              <w:rPr>
                <w:rFonts w:hint="eastAsia" w:ascii="黑体" w:hAnsi="黑体" w:eastAsia="黑体" w:cs="黑体"/>
                <w:b w:val="0"/>
                <w:bCs/>
                <w:i w:val="0"/>
                <w:sz w:val="24"/>
                <w:szCs w:val="24"/>
              </w:rPr>
              <w:t>阶段总价</w:t>
            </w:r>
          </w:p>
        </w:tc>
      </w:tr>
      <w:tr w14:paraId="032ABC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8" w:type="dxa"/>
            <w:vAlign w:val="center"/>
          </w:tcPr>
          <w:p w14:paraId="70B57CB8">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第一阶段</w:t>
            </w:r>
          </w:p>
        </w:tc>
        <w:tc>
          <w:tcPr>
            <w:tcW w:w="2852" w:type="dxa"/>
            <w:vAlign w:val="center"/>
          </w:tcPr>
          <w:p w14:paraId="51BBE94C">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D1 诊断与确认 + D2 方案撰写</w:t>
            </w:r>
          </w:p>
        </w:tc>
        <w:tc>
          <w:tcPr>
            <w:tcW w:w="2160" w:type="dxa"/>
            <w:vAlign w:val="center"/>
          </w:tcPr>
          <w:p w14:paraId="788FFADC">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参考96小时</w:t>
            </w:r>
          </w:p>
        </w:tc>
        <w:tc>
          <w:tcPr>
            <w:tcW w:w="2160" w:type="dxa"/>
            <w:vAlign w:val="center"/>
          </w:tcPr>
          <w:p w14:paraId="69E9AD6C">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以合同约定为准</w:t>
            </w:r>
          </w:p>
        </w:tc>
      </w:tr>
      <w:tr w14:paraId="037995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8" w:type="dxa"/>
            <w:vAlign w:val="center"/>
          </w:tcPr>
          <w:p w14:paraId="5D35DF3E">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第二阶段</w:t>
            </w:r>
          </w:p>
        </w:tc>
        <w:tc>
          <w:tcPr>
            <w:tcW w:w="2852" w:type="dxa"/>
            <w:vAlign w:val="center"/>
          </w:tcPr>
          <w:p w14:paraId="75C05C1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D3 汇报确认 + D4 宣导固化</w:t>
            </w:r>
          </w:p>
        </w:tc>
        <w:tc>
          <w:tcPr>
            <w:tcW w:w="2160" w:type="dxa"/>
            <w:vAlign w:val="center"/>
          </w:tcPr>
          <w:p w14:paraId="1AE4765A">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参考36-48小时</w:t>
            </w:r>
          </w:p>
        </w:tc>
        <w:tc>
          <w:tcPr>
            <w:tcW w:w="2160" w:type="dxa"/>
            <w:vAlign w:val="center"/>
          </w:tcPr>
          <w:p w14:paraId="7BE62CAE">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以合同约定为准</w:t>
            </w:r>
          </w:p>
        </w:tc>
      </w:tr>
    </w:tbl>
    <w:p w14:paraId="4634956D">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报价规则：</w:t>
      </w:r>
    </w:p>
    <w:p w14:paraId="79817792">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1、以上课时为基于项目范围的参考值，最终以双方确认的合同约定为准</w:t>
      </w:r>
    </w:p>
    <w:p w14:paraId="749267C2">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2、团队综合费率XXX元/小时（含咨询实战专家+项目老师）</w:t>
      </w:r>
    </w:p>
    <w:p w14:paraId="11045D84">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3、两阶段独立签约，客户可按阶段验证交付质量后决定是否继续</w:t>
      </w:r>
    </w:p>
    <w:p w14:paraId="6748313E">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4、差旅费按实际发生（异地出差），不计入服务费率</w:t>
      </w:r>
    </w:p>
    <w:p w14:paraId="7CF1DCF8">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以上服务费不含税，增值税税率6%另行计收</w:t>
      </w:r>
    </w:p>
    <w:p w14:paraId="3A972F0B">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超出合同范围的额外服务（如一对一深度答疑等），按XXX元/小时单独计费</w:t>
      </w:r>
    </w:p>
    <w:p w14:paraId="215677DF">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（二）项目周期</w:t>
      </w:r>
    </w:p>
    <w:p w14:paraId="2A60E4B7">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1、整体8-10周，现场工作每周1-2天（关键节点可增至2-3天）。具体日期根据当升科技实际业务节奏灵活调整，以不影响客户主业推进为原则。</w:t>
      </w:r>
    </w:p>
    <w:p w14:paraId="71B98167">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2、建议启动时机：轮岗制度作为"领导力建设三年行动"首年的基础设施，建议不晚于2026年6月启动，以确保：</w:t>
      </w:r>
    </w:p>
    <w:p w14:paraId="23A33F22">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3、8-10周后（约8-9月）制度发布，赶上年底干部考评会——轮岗制度与晋升评议挂钩的条款可在考评季前正式生效</w:t>
      </w:r>
    </w:p>
    <w:p w14:paraId="63C0450C">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4、制度发布后第6个月（约2027年2-3月）完成试点复盘，赶上年度人才盘点周期——试点结果可直接输入继任计划和后备干部池更新</w:t>
      </w:r>
    </w:p>
    <w:p w14:paraId="785A9CFF">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5、第二批推广在2027年Q2启动，使三年行动第二年（2027）有完整的运行数据支撑制度优化迭代</w:t>
      </w:r>
    </w:p>
    <w:p w14:paraId="7A41DD0C">
      <w:pPr>
        <w:pStyle w:val="4"/>
        <w:keepNext/>
        <w:keepLines/>
        <w:pageBreakBefore w:val="0"/>
        <w:widowControl/>
        <w:kinsoku/>
        <w:wordWrap/>
        <w:overflowPunct/>
        <w:topLinePunct w:val="0"/>
        <w:autoSpaceDE/>
        <w:autoSpaceDN/>
        <w:bidi w:val="0"/>
        <w:adjustRightInd/>
        <w:snapToGrid/>
        <w:spacing w:before="0" w:after="181" w:afterLines="50" w:line="520" w:lineRule="exact"/>
        <w:ind w:firstLine="560" w:firstLineChars="200"/>
        <w:textAlignment w:val="auto"/>
        <w:rPr>
          <w:rFonts w:hint="eastAsia" w:ascii="黑体" w:hAnsi="黑体" w:eastAsia="黑体" w:cs="黑体"/>
          <w:b w:val="0"/>
          <w:bCs w:val="0"/>
          <w:color w:val="auto"/>
          <w:sz w:val="28"/>
          <w:szCs w:val="28"/>
        </w:rPr>
      </w:pPr>
      <w:r>
        <w:rPr>
          <w:rFonts w:hint="eastAsia" w:ascii="黑体" w:hAnsi="黑体" w:eastAsia="黑体" w:cs="黑体"/>
          <w:b w:val="0"/>
          <w:bCs w:val="0"/>
          <w:color w:val="auto"/>
          <w:sz w:val="28"/>
          <w:szCs w:val="28"/>
        </w:rPr>
        <w:t>十、后续合作路线图</w:t>
      </w:r>
    </w:p>
    <w:p w14:paraId="079CF0EB">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本项目的定位是当升科技人力资源体系升级的"第一块基石"。轮岗与激励机制建设完成后，摩根建议沿以下路径持续深化：</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8"/>
        <w:gridCol w:w="2462"/>
        <w:gridCol w:w="2160"/>
        <w:gridCol w:w="2160"/>
      </w:tblGrid>
      <w:tr w14:paraId="088AF7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vAlign w:val="center"/>
          </w:tcPr>
          <w:p w14:paraId="26B7F252">
            <w:pPr>
              <w:spacing w:after="0" w:line="240" w:lineRule="auto"/>
              <w:jc w:val="both"/>
              <w:rPr>
                <w:rFonts w:hint="eastAsia" w:ascii="等线" w:hAnsi="等线" w:eastAsia="等线" w:cs="等线"/>
                <w:b w:val="0"/>
                <w:bCs/>
                <w:sz w:val="24"/>
                <w:szCs w:val="24"/>
              </w:rPr>
            </w:pPr>
            <w:r>
              <w:rPr>
                <w:rFonts w:hint="eastAsia" w:ascii="等线" w:hAnsi="等线" w:eastAsia="等线" w:cs="等线"/>
                <w:b w:val="0"/>
                <w:bCs/>
                <w:i w:val="0"/>
                <w:sz w:val="24"/>
                <w:szCs w:val="24"/>
              </w:rPr>
              <w:t>推进线</w:t>
            </w:r>
          </w:p>
        </w:tc>
        <w:tc>
          <w:tcPr>
            <w:tcW w:w="2462" w:type="dxa"/>
            <w:vAlign w:val="center"/>
          </w:tcPr>
          <w:p w14:paraId="5E26D28A">
            <w:pPr>
              <w:spacing w:after="0" w:line="240" w:lineRule="auto"/>
              <w:jc w:val="both"/>
              <w:rPr>
                <w:rFonts w:hint="eastAsia" w:ascii="等线" w:hAnsi="等线" w:eastAsia="等线" w:cs="等线"/>
                <w:b w:val="0"/>
                <w:bCs/>
                <w:sz w:val="24"/>
                <w:szCs w:val="24"/>
              </w:rPr>
            </w:pPr>
            <w:r>
              <w:rPr>
                <w:rFonts w:hint="eastAsia" w:ascii="等线" w:hAnsi="等线" w:eastAsia="等线" w:cs="等线"/>
                <w:b w:val="0"/>
                <w:bCs/>
                <w:i w:val="0"/>
                <w:sz w:val="24"/>
                <w:szCs w:val="24"/>
              </w:rPr>
              <w:t>第1阶段（本次项目）</w:t>
            </w:r>
          </w:p>
        </w:tc>
        <w:tc>
          <w:tcPr>
            <w:tcW w:w="2160" w:type="dxa"/>
            <w:vAlign w:val="center"/>
          </w:tcPr>
          <w:p w14:paraId="3D7B31C9">
            <w:pPr>
              <w:spacing w:after="0" w:line="240" w:lineRule="auto"/>
              <w:jc w:val="both"/>
              <w:rPr>
                <w:rFonts w:hint="eastAsia" w:ascii="等线" w:hAnsi="等线" w:eastAsia="等线" w:cs="等线"/>
                <w:b w:val="0"/>
                <w:bCs/>
                <w:sz w:val="24"/>
                <w:szCs w:val="24"/>
              </w:rPr>
            </w:pPr>
            <w:r>
              <w:rPr>
                <w:rFonts w:hint="eastAsia" w:ascii="等线" w:hAnsi="等线" w:eastAsia="等线" w:cs="等线"/>
                <w:b w:val="0"/>
                <w:bCs/>
                <w:i w:val="0"/>
                <w:sz w:val="24"/>
                <w:szCs w:val="24"/>
              </w:rPr>
              <w:t>第2阶段</w:t>
            </w:r>
          </w:p>
        </w:tc>
        <w:tc>
          <w:tcPr>
            <w:tcW w:w="2160" w:type="dxa"/>
            <w:vAlign w:val="center"/>
          </w:tcPr>
          <w:p w14:paraId="05825F3F">
            <w:pPr>
              <w:spacing w:after="0" w:line="240" w:lineRule="auto"/>
              <w:jc w:val="both"/>
              <w:rPr>
                <w:rFonts w:hint="eastAsia" w:ascii="等线" w:hAnsi="等线" w:eastAsia="等线" w:cs="等线"/>
                <w:b w:val="0"/>
                <w:bCs/>
                <w:sz w:val="24"/>
                <w:szCs w:val="24"/>
              </w:rPr>
            </w:pPr>
            <w:r>
              <w:rPr>
                <w:rFonts w:hint="eastAsia" w:ascii="等线" w:hAnsi="等线" w:eastAsia="等线" w:cs="等线"/>
                <w:b w:val="0"/>
                <w:bCs/>
                <w:i w:val="0"/>
                <w:sz w:val="24"/>
                <w:szCs w:val="24"/>
              </w:rPr>
              <w:t>第3阶段</w:t>
            </w:r>
          </w:p>
        </w:tc>
      </w:tr>
      <w:tr w14:paraId="51860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vAlign w:val="center"/>
          </w:tcPr>
          <w:p w14:paraId="4841AE9A">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主线：制度升级</w:t>
            </w:r>
          </w:p>
        </w:tc>
        <w:tc>
          <w:tcPr>
            <w:tcW w:w="2462" w:type="dxa"/>
          </w:tcPr>
          <w:p w14:paraId="0CA8A17D">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轮岗制度 + 激励机制建设（8-10周）</w:t>
            </w:r>
          </w:p>
        </w:tc>
        <w:tc>
          <w:tcPr>
            <w:tcW w:w="2160" w:type="dxa"/>
            <w:vAlign w:val="center"/>
          </w:tcPr>
          <w:p w14:paraId="6BA8A872">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 全面薪酬体系升级（在本次接口基础上）</w:t>
            </w:r>
          </w:p>
        </w:tc>
        <w:tc>
          <w:tcPr>
            <w:tcW w:w="2160" w:type="dxa"/>
            <w:vAlign w:val="center"/>
          </w:tcPr>
          <w:p w14:paraId="67D38DA5">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 绩效管理体系优化 + 人才盘点与继任计划</w:t>
            </w:r>
          </w:p>
        </w:tc>
      </w:tr>
      <w:tr w14:paraId="414CAF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58" w:type="dxa"/>
            <w:vAlign w:val="center"/>
          </w:tcPr>
          <w:p w14:paraId="04742872">
            <w:pPr>
              <w:spacing w:after="0" w:line="240" w:lineRule="auto"/>
              <w:jc w:val="both"/>
              <w:rPr>
                <w:rFonts w:hint="eastAsia" w:ascii="仿宋" w:hAnsi="仿宋" w:eastAsia="仿宋" w:cs="仿宋"/>
                <w:b w:val="0"/>
                <w:bCs/>
                <w:sz w:val="24"/>
                <w:szCs w:val="24"/>
              </w:rPr>
            </w:pPr>
            <w:r>
              <w:rPr>
                <w:rFonts w:hint="eastAsia" w:ascii="仿宋" w:hAnsi="仿宋" w:eastAsia="仿宋" w:cs="仿宋"/>
                <w:b w:val="0"/>
                <w:bCs/>
                <w:i w:val="0"/>
                <w:sz w:val="24"/>
                <w:szCs w:val="24"/>
              </w:rPr>
              <w:t>并行线：能力培养</w:t>
            </w:r>
          </w:p>
        </w:tc>
        <w:tc>
          <w:tcPr>
            <w:tcW w:w="2462" w:type="dxa"/>
          </w:tcPr>
          <w:p w14:paraId="7AA2C771">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分层领导力培养（新晋经理项目，已有，持续12个月）</w:t>
            </w:r>
          </w:p>
        </w:tc>
        <w:tc>
          <w:tcPr>
            <w:tcW w:w="2160" w:type="dxa"/>
            <w:vAlign w:val="center"/>
          </w:tcPr>
          <w:p w14:paraId="626CC03A">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中层领导力进阶</w:t>
            </w:r>
          </w:p>
        </w:tc>
        <w:tc>
          <w:tcPr>
            <w:tcW w:w="2160" w:type="dxa"/>
            <w:vAlign w:val="center"/>
          </w:tcPr>
          <w:p w14:paraId="79E787E3">
            <w:pPr>
              <w:spacing w:after="0" w:line="240" w:lineRule="auto"/>
              <w:jc w:val="both"/>
              <w:rPr>
                <w:rFonts w:hint="eastAsia" w:ascii="仿宋" w:hAnsi="仿宋" w:eastAsia="仿宋" w:cs="仿宋"/>
                <w:sz w:val="24"/>
                <w:szCs w:val="24"/>
              </w:rPr>
            </w:pPr>
            <w:r>
              <w:rPr>
                <w:rFonts w:hint="eastAsia" w:ascii="仿宋" w:hAnsi="仿宋" w:eastAsia="仿宋" w:cs="仿宋"/>
                <w:b w:val="0"/>
                <w:i w:val="0"/>
                <w:sz w:val="24"/>
                <w:szCs w:val="24"/>
              </w:rPr>
              <w:t>高层领导力发展</w:t>
            </w:r>
          </w:p>
        </w:tc>
      </w:tr>
    </w:tbl>
    <w:p w14:paraId="67213727">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p>
    <w:p w14:paraId="2676AEB6">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后续陪跑选项（主线+并行线之外的柔性支持）：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21"/>
        <w:gridCol w:w="4339"/>
        <w:gridCol w:w="2880"/>
      </w:tblGrid>
      <w:tr w14:paraId="16A78C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Pr>
          <w:p w14:paraId="131DF76B">
            <w:pPr>
              <w:spacing w:after="0" w:line="240" w:lineRule="auto"/>
              <w:rPr>
                <w:rFonts w:hint="eastAsia" w:ascii="等线" w:hAnsi="等线" w:eastAsia="等线" w:cs="等线"/>
                <w:b w:val="0"/>
                <w:bCs/>
                <w:sz w:val="24"/>
                <w:szCs w:val="24"/>
              </w:rPr>
            </w:pPr>
            <w:r>
              <w:rPr>
                <w:rFonts w:hint="eastAsia" w:ascii="等线" w:hAnsi="等线" w:eastAsia="等线" w:cs="等线"/>
                <w:b w:val="0"/>
                <w:bCs/>
                <w:i w:val="0"/>
                <w:sz w:val="24"/>
                <w:szCs w:val="24"/>
              </w:rPr>
              <w:t>服务模式</w:t>
            </w:r>
          </w:p>
        </w:tc>
        <w:tc>
          <w:tcPr>
            <w:tcW w:w="4339" w:type="dxa"/>
          </w:tcPr>
          <w:p w14:paraId="4335DCC6">
            <w:pPr>
              <w:spacing w:after="0" w:line="240" w:lineRule="auto"/>
              <w:rPr>
                <w:rFonts w:hint="eastAsia" w:ascii="等线" w:hAnsi="等线" w:eastAsia="等线" w:cs="等线"/>
                <w:b w:val="0"/>
                <w:bCs/>
                <w:sz w:val="24"/>
                <w:szCs w:val="24"/>
              </w:rPr>
            </w:pPr>
            <w:r>
              <w:rPr>
                <w:rFonts w:hint="eastAsia" w:ascii="等线" w:hAnsi="等线" w:eastAsia="等线" w:cs="等线"/>
                <w:b w:val="0"/>
                <w:bCs/>
                <w:i w:val="0"/>
                <w:sz w:val="24"/>
                <w:szCs w:val="24"/>
              </w:rPr>
              <w:t>内容</w:t>
            </w:r>
          </w:p>
        </w:tc>
        <w:tc>
          <w:tcPr>
            <w:tcW w:w="2880" w:type="dxa"/>
          </w:tcPr>
          <w:p w14:paraId="7E53AC84">
            <w:pPr>
              <w:spacing w:after="0" w:line="240" w:lineRule="auto"/>
              <w:rPr>
                <w:rFonts w:hint="eastAsia" w:ascii="等线" w:hAnsi="等线" w:eastAsia="等线" w:cs="等线"/>
                <w:b w:val="0"/>
                <w:bCs/>
                <w:sz w:val="24"/>
                <w:szCs w:val="24"/>
              </w:rPr>
            </w:pPr>
            <w:r>
              <w:rPr>
                <w:rFonts w:hint="eastAsia" w:ascii="等线" w:hAnsi="等线" w:eastAsia="等线" w:cs="等线"/>
                <w:b w:val="0"/>
                <w:bCs/>
                <w:i w:val="0"/>
                <w:sz w:val="24"/>
                <w:szCs w:val="24"/>
              </w:rPr>
              <w:t>适合场景</w:t>
            </w:r>
          </w:p>
        </w:tc>
      </w:tr>
      <w:tr w14:paraId="234285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Pr>
          <w:p w14:paraId="09D8BA2F">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季度回访</w:t>
            </w:r>
          </w:p>
        </w:tc>
        <w:tc>
          <w:tcPr>
            <w:tcW w:w="4339" w:type="dxa"/>
          </w:tcPr>
          <w:p w14:paraId="5E634A39">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每季度一次现场/线上回访，评估运行情况</w:t>
            </w:r>
          </w:p>
        </w:tc>
        <w:tc>
          <w:tcPr>
            <w:tcW w:w="2880" w:type="dxa"/>
          </w:tcPr>
          <w:p w14:paraId="40E9867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制度平稳运行期</w:t>
            </w:r>
          </w:p>
        </w:tc>
      </w:tr>
      <w:tr w14:paraId="56020A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Pr>
          <w:p w14:paraId="13A3414B">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年度顾问</w:t>
            </w:r>
          </w:p>
        </w:tc>
        <w:tc>
          <w:tcPr>
            <w:tcW w:w="4339" w:type="dxa"/>
          </w:tcPr>
          <w:p w14:paraId="323945D9">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定期回顾+制度升级辅导+应急咨询</w:t>
            </w:r>
          </w:p>
        </w:tc>
        <w:tc>
          <w:tcPr>
            <w:tcW w:w="2880" w:type="dxa"/>
          </w:tcPr>
          <w:p w14:paraId="324F3E8C">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业务持续扩张，制度需迭代</w:t>
            </w:r>
          </w:p>
        </w:tc>
      </w:tr>
      <w:tr w14:paraId="77008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Pr>
          <w:p w14:paraId="5CCAA9E3">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深度陪跑</w:t>
            </w:r>
          </w:p>
        </w:tc>
        <w:tc>
          <w:tcPr>
            <w:tcW w:w="4339" w:type="dxa"/>
          </w:tcPr>
          <w:p w14:paraId="544B508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摩根专家定期驻场，协助复杂问题处理</w:t>
            </w:r>
          </w:p>
        </w:tc>
        <w:tc>
          <w:tcPr>
            <w:tcW w:w="2880" w:type="dxa"/>
          </w:tcPr>
          <w:p w14:paraId="2BE665F3">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首批轮岗落地关键期</w:t>
            </w:r>
          </w:p>
        </w:tc>
      </w:tr>
      <w:tr w14:paraId="4F9E2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21" w:type="dxa"/>
          </w:tcPr>
          <w:p w14:paraId="07559F7E">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长期伙伴</w:t>
            </w:r>
          </w:p>
        </w:tc>
        <w:tc>
          <w:tcPr>
            <w:tcW w:w="4339" w:type="dxa"/>
          </w:tcPr>
          <w:p w14:paraId="16D3E217">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参照摩根为日照钢铁提供4-5年持续服务的模式</w:t>
            </w:r>
          </w:p>
        </w:tc>
        <w:tc>
          <w:tcPr>
            <w:tcW w:w="2880" w:type="dxa"/>
          </w:tcPr>
          <w:p w14:paraId="3D20C682">
            <w:pPr>
              <w:spacing w:after="0" w:line="240" w:lineRule="auto"/>
              <w:rPr>
                <w:rFonts w:hint="eastAsia" w:ascii="仿宋" w:hAnsi="仿宋" w:eastAsia="仿宋" w:cs="仿宋"/>
                <w:sz w:val="24"/>
                <w:szCs w:val="24"/>
              </w:rPr>
            </w:pPr>
            <w:r>
              <w:rPr>
                <w:rFonts w:hint="eastAsia" w:ascii="仿宋" w:hAnsi="仿宋" w:eastAsia="仿宋" w:cs="仿宋"/>
                <w:b w:val="0"/>
                <w:i w:val="0"/>
                <w:sz w:val="24"/>
                <w:szCs w:val="24"/>
              </w:rPr>
              <w:t>融入全面人力资源体系升级</w:t>
            </w:r>
          </w:p>
        </w:tc>
      </w:tr>
    </w:tbl>
    <w:p w14:paraId="18E8CE49">
      <w:pPr>
        <w:keepNext w:val="0"/>
        <w:keepLines w:val="0"/>
        <w:pageBreakBefore w:val="0"/>
        <w:widowControl/>
        <w:kinsoku/>
        <w:wordWrap/>
        <w:overflowPunct/>
        <w:topLinePunct w:val="0"/>
        <w:autoSpaceDE/>
        <w:autoSpaceDN/>
        <w:bidi w:val="0"/>
        <w:adjustRightInd/>
        <w:snapToGrid/>
        <w:spacing w:after="181" w:afterLines="50" w:line="520" w:lineRule="exact"/>
        <w:ind w:firstLine="560" w:firstLineChars="200"/>
        <w:textAlignment w:val="auto"/>
        <w:rPr>
          <w:rFonts w:hint="eastAsia" w:ascii="仿宋" w:hAnsi="仿宋" w:eastAsia="仿宋" w:cs="仿宋"/>
          <w:b w:val="0"/>
          <w:bCs w:val="0"/>
          <w:i w:val="0"/>
          <w:iCs w:val="0"/>
          <w:color w:val="auto"/>
          <w:sz w:val="28"/>
          <w:szCs w:val="28"/>
          <w:lang w:val="en-US" w:eastAsia="zh-CN" w:bidi="ar-SA"/>
        </w:rPr>
      </w:pPr>
      <w:r>
        <w:rPr>
          <w:rFonts w:hint="eastAsia" w:ascii="仿宋" w:hAnsi="仿宋" w:eastAsia="仿宋" w:cs="仿宋"/>
          <w:b w:val="0"/>
          <w:bCs w:val="0"/>
          <w:i w:val="0"/>
          <w:iCs w:val="0"/>
          <w:color w:val="auto"/>
          <w:sz w:val="28"/>
          <w:szCs w:val="28"/>
          <w:lang w:val="en-US" w:eastAsia="zh-CN" w:bidi="ar-SA"/>
        </w:rPr>
        <w:t>各阶段之间通过本次设计预留的接口自然衔接，每一阶段的产出是下一阶段的输入。客户可根据本次项目的交付情况和实际需求，选择后续合作的深度。</w:t>
      </w:r>
    </w:p>
    <w:p w14:paraId="6828C0AB">
      <w:pPr>
        <w:ind w:left="567"/>
      </w:pPr>
    </w:p>
    <w:p w14:paraId="091B96E7">
      <w:pPr>
        <w:ind w:left="567"/>
      </w:pPr>
    </w:p>
    <w:p w14:paraId="063513F4">
      <w:pPr>
        <w:ind w:left="567"/>
      </w:pPr>
    </w:p>
    <w:p w14:paraId="3B84EE67">
      <w:pPr>
        <w:ind w:left="567"/>
      </w:pPr>
    </w:p>
    <w:p w14:paraId="6CC38954">
      <w:pPr>
        <w:ind w:left="567"/>
      </w:pPr>
    </w:p>
    <w:p w14:paraId="7BBED28C">
      <w:pPr>
        <w:ind w:left="567"/>
      </w:pPr>
    </w:p>
    <w:p w14:paraId="17FB9A9E">
      <w:pPr>
        <w:ind w:left="567"/>
      </w:pPr>
    </w:p>
    <w:p w14:paraId="13A65B0B">
      <w:pPr>
        <w:ind w:left="567"/>
      </w:pPr>
    </w:p>
    <w:p w14:paraId="664C8328">
      <w:pPr>
        <w:ind w:left="567"/>
      </w:pPr>
    </w:p>
    <w:p w14:paraId="61CDBD11">
      <w:pPr>
        <w:ind w:left="567"/>
      </w:pPr>
    </w:p>
    <w:p w14:paraId="68348948">
      <w:pPr>
        <w:keepNext w:val="0"/>
        <w:keepLines w:val="0"/>
        <w:pageBreakBefore w:val="0"/>
        <w:widowControl/>
        <w:kinsoku/>
        <w:wordWrap/>
        <w:overflowPunct/>
        <w:topLinePunct w:val="0"/>
        <w:autoSpaceDE/>
        <w:autoSpaceDN/>
        <w:bidi w:val="0"/>
        <w:adjustRightInd/>
        <w:snapToGrid/>
        <w:spacing w:after="0" w:line="520" w:lineRule="exact"/>
        <w:ind w:firstLine="560" w:firstLineChars="200"/>
        <w:jc w:val="both"/>
        <w:textAlignment w:val="auto"/>
        <w:rPr>
          <w:rFonts w:hint="eastAsia"/>
          <w:sz w:val="28"/>
          <w:szCs w:val="28"/>
          <w:lang w:val="en-US" w:eastAsia="zh-CN"/>
        </w:rPr>
      </w:pPr>
    </w:p>
    <w:p w14:paraId="53B3A591">
      <w:pPr>
        <w:keepNext w:val="0"/>
        <w:keepLines w:val="0"/>
        <w:pageBreakBefore w:val="0"/>
        <w:widowControl/>
        <w:kinsoku/>
        <w:wordWrap/>
        <w:overflowPunct/>
        <w:topLinePunct w:val="0"/>
        <w:autoSpaceDE/>
        <w:autoSpaceDN/>
        <w:bidi w:val="0"/>
        <w:adjustRightInd/>
        <w:snapToGrid/>
        <w:spacing w:after="0" w:line="520" w:lineRule="exact"/>
        <w:ind w:firstLine="560" w:firstLineChars="200"/>
        <w:jc w:val="both"/>
        <w:textAlignment w:val="auto"/>
        <w:rPr>
          <w:rFonts w:hint="eastAsia"/>
          <w:sz w:val="28"/>
          <w:szCs w:val="28"/>
          <w:lang w:val="en-US" w:eastAsia="zh-CN"/>
        </w:rPr>
      </w:pPr>
      <w:r>
        <w:rPr>
          <w:sz w:val="28"/>
        </w:rPr>
        <mc:AlternateContent>
          <mc:Choice Requires="wps">
            <w:drawing>
              <wp:anchor distT="0" distB="0" distL="114300" distR="114300" simplePos="0" relativeHeight="251661312" behindDoc="0" locked="0" layoutInCell="1" allowOverlap="1">
                <wp:simplePos x="0" y="0"/>
                <wp:positionH relativeFrom="column">
                  <wp:posOffset>4643755</wp:posOffset>
                </wp:positionH>
                <wp:positionV relativeFrom="paragraph">
                  <wp:posOffset>26670</wp:posOffset>
                </wp:positionV>
                <wp:extent cx="993140" cy="1163955"/>
                <wp:effectExtent l="5080" t="4445" r="11430" b="12700"/>
                <wp:wrapNone/>
                <wp:docPr id="6" name="文本框 6"/>
                <wp:cNvGraphicFramePr/>
                <a:graphic xmlns:a="http://schemas.openxmlformats.org/drawingml/2006/main">
                  <a:graphicData uri="http://schemas.microsoft.com/office/word/2010/wordprocessingShape">
                    <wps:wsp>
                      <wps:cNvSpPr txBox="1"/>
                      <wps:spPr>
                        <a:xfrm>
                          <a:off x="0" y="0"/>
                          <a:ext cx="993140" cy="11639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BF2F12A">
                            <w:r>
                              <w:drawing>
                                <wp:inline distT="0" distB="0" distL="114300" distR="114300">
                                  <wp:extent cx="798195" cy="1083310"/>
                                  <wp:effectExtent l="0" t="0" r="190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798195" cy="10833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5.65pt;margin-top:2.1pt;height:91.65pt;width:78.2pt;z-index:251661312;mso-width-relative:page;mso-height-relative:page;" fillcolor="#FFFFFF [3201]" filled="t" stroked="t" coordsize="21600,21600" o:gfxdata="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HaSu4HXAAAACQEAAA8A&#10;AAAAAAAAAQAgAAAAIgAAAGRycy9kb3ducmV2LnhtbFBLAQIUABQAAAAIAIdO4kDaWDtfUQIAALgE&#10;AAAOAAAAAAAAAAEAIAAAACYBAABkcnMvZTJvRG9jLnhtbFBLBQYAAAAABgAGAFkBAADpBQAAAAA=&#10;">
                <v:fill on="t" focussize="0,0"/>
                <v:stroke weight="0.5pt" color="#FFFFFF [3212]" joinstyle="round"/>
                <v:imagedata o:title=""/>
                <o:lock v:ext="edit" aspectratio="f"/>
                <v:textbox>
                  <w:txbxContent>
                    <w:p w14:paraId="0BF2F12A">
                      <w:r>
                        <w:drawing>
                          <wp:inline distT="0" distB="0" distL="114300" distR="114300">
                            <wp:extent cx="798195" cy="1083310"/>
                            <wp:effectExtent l="0" t="0" r="190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6"/>
                                    <a:stretch>
                                      <a:fillRect/>
                                    </a:stretch>
                                  </pic:blipFill>
                                  <pic:spPr>
                                    <a:xfrm>
                                      <a:off x="0" y="0"/>
                                      <a:ext cx="798195" cy="1083310"/>
                                    </a:xfrm>
                                    <a:prstGeom prst="rect">
                                      <a:avLst/>
                                    </a:prstGeom>
                                    <a:noFill/>
                                    <a:ln>
                                      <a:noFill/>
                                    </a:ln>
                                  </pic:spPr>
                                </pic:pic>
                              </a:graphicData>
                            </a:graphic>
                          </wp:inline>
                        </w:drawing>
                      </w:r>
                    </w:p>
                  </w:txbxContent>
                </v:textbox>
              </v:shape>
            </w:pict>
          </mc:Fallback>
        </mc:AlternateContent>
      </w:r>
      <w:r>
        <w:rPr>
          <w:rFonts w:hint="eastAsia"/>
          <w:sz w:val="28"/>
          <w:szCs w:val="28"/>
          <w:lang w:val="en-US" w:eastAsia="zh-CN"/>
        </w:rPr>
        <w:t>附件：专家简介</w:t>
      </w:r>
    </w:p>
    <w:p w14:paraId="3BD85CE1">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黑体" w:hAnsi="黑体" w:eastAsia="黑体" w:cs="黑体"/>
          <w:sz w:val="28"/>
          <w:szCs w:val="28"/>
          <w:lang w:val="en-US" w:eastAsia="zh-CN"/>
        </w:rPr>
      </w:pPr>
      <w:r>
        <w:rPr>
          <w:rFonts w:hint="eastAsia" w:ascii="黑体" w:hAnsi="黑体" w:eastAsia="黑体" w:cs="黑体"/>
          <w:sz w:val="28"/>
          <w:szCs w:val="28"/>
          <w:lang w:val="en-US" w:eastAsia="zh-CN"/>
        </w:rPr>
        <w:t>袁淑萍</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摩根世纪高级合伙人、原安永</w:t>
      </w:r>
      <w:bookmarkStart w:id="0" w:name="_GoBack"/>
      <w:bookmarkEnd w:id="0"/>
      <w:r>
        <w:rPr>
          <w:rFonts w:hint="eastAsia" w:ascii="黑体" w:hAnsi="黑体" w:eastAsia="黑体" w:cs="黑体"/>
          <w:sz w:val="28"/>
          <w:szCs w:val="28"/>
          <w:lang w:val="en-US" w:eastAsia="zh-CN"/>
        </w:rPr>
        <w:t>合伙人</w:t>
      </w:r>
    </w:p>
    <w:p w14:paraId="1EEDDC3F">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十八年国际咨询公司人力资本咨询经验。</w:t>
      </w:r>
    </w:p>
    <w:p w14:paraId="56C3837E">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在组织架构设计、薪酬福利机制设计、绩效管理、人</w:t>
      </w:r>
    </w:p>
    <w:p w14:paraId="76D8A28A">
      <w:pPr>
        <w:keepNext w:val="0"/>
        <w:keepLines w:val="0"/>
        <w:pageBreakBefore w:val="0"/>
        <w:widowControl/>
        <w:kinsoku/>
        <w:wordWrap/>
        <w:overflowPunct/>
        <w:topLinePunct w:val="0"/>
        <w:autoSpaceDE/>
        <w:autoSpaceDN/>
        <w:bidi w:val="0"/>
        <w:adjustRightInd/>
        <w:snapToGrid/>
        <w:spacing w:after="0" w:line="520" w:lineRule="exact"/>
        <w:textAlignment w:val="auto"/>
        <w:rPr>
          <w:rFonts w:hint="eastAsia" w:ascii="仿宋" w:hAnsi="仿宋" w:eastAsia="仿宋" w:cs="仿宋"/>
          <w:sz w:val="28"/>
          <w:szCs w:val="28"/>
        </w:rPr>
      </w:pPr>
      <w:r>
        <w:rPr>
          <w:rFonts w:hint="eastAsia" w:ascii="仿宋" w:hAnsi="仿宋" w:eastAsia="仿宋" w:cs="仿宋"/>
          <w:sz w:val="28"/>
          <w:szCs w:val="28"/>
        </w:rPr>
        <w:t>力源战略规划、岗位管理、治理结构设计等方面具有丰富的经验与实践职业资质与技能</w:t>
      </w:r>
    </w:p>
    <w:p w14:paraId="07070999">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多次</w:t>
      </w:r>
      <w:r>
        <w:rPr>
          <w:rFonts w:hint="eastAsia" w:ascii="仿宋" w:hAnsi="仿宋" w:eastAsia="仿宋" w:cs="仿宋"/>
          <w:sz w:val="28"/>
          <w:szCs w:val="28"/>
        </w:rPr>
        <w:t>为大型国有企业、跨国公司及民营企业提供组织架构设计、薪酬福利机制 设计、人力资源战略规划、岗位管理、绩效管理、公司治理结构设计等方面咨询服务，具备丰富的理论及实践经验。</w:t>
      </w:r>
    </w:p>
    <w:p w14:paraId="03DD237D">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行业及项目经验</w:t>
      </w:r>
    </w:p>
    <w:p w14:paraId="1192AB37">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袁女士专注于金融服务业和高科技行业，为多家大型国有企业、民营企业及合资企业提供咨询服务，主要包括：</w:t>
      </w:r>
    </w:p>
    <w:p w14:paraId="1FB2F0E5">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1、</w:t>
      </w:r>
      <w:r>
        <w:rPr>
          <w:rFonts w:hint="eastAsia" w:ascii="仿宋" w:hAnsi="仿宋" w:eastAsia="仿宋" w:cs="仿宋"/>
          <w:sz w:val="28"/>
          <w:szCs w:val="28"/>
        </w:rPr>
        <w:t>金融服务行业</w:t>
      </w:r>
    </w:p>
    <w:p w14:paraId="661506D9">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为某大型央企集团资产管理公司进行组织架构及人力资源基础体系（岗位、薪酬、绩效）设计；</w:t>
      </w:r>
    </w:p>
    <w:p w14:paraId="243A12DD">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为某大型央企集团财务公司进行组织架构和薪酬体系设计；</w:t>
      </w:r>
    </w:p>
    <w:p w14:paraId="55BE7668">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为某地方性商业银行进行组织架构设计和业务流程梳理与优化。</w:t>
      </w:r>
    </w:p>
    <w:p w14:paraId="2FA2E48E">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2、</w:t>
      </w:r>
      <w:r>
        <w:rPr>
          <w:rFonts w:hint="eastAsia" w:ascii="仿宋" w:hAnsi="仿宋" w:eastAsia="仿宋" w:cs="仿宋"/>
          <w:sz w:val="28"/>
          <w:szCs w:val="28"/>
        </w:rPr>
        <w:t>高科技行业：</w:t>
      </w:r>
    </w:p>
    <w:p w14:paraId="0DFF8C80">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为国内某著名银行业IT解决方案提供商，进行全面管理转型诊断和员工考核与激励项目设计</w:t>
      </w:r>
    </w:p>
    <w:p w14:paraId="7BA220D1">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3、</w:t>
      </w:r>
      <w:r>
        <w:rPr>
          <w:rFonts w:hint="eastAsia" w:ascii="仿宋" w:hAnsi="仿宋" w:eastAsia="仿宋" w:cs="仿宋"/>
          <w:sz w:val="28"/>
          <w:szCs w:val="28"/>
        </w:rPr>
        <w:t>其他行业</w:t>
      </w:r>
    </w:p>
    <w:p w14:paraId="089E64B7">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为某大型央企下属一级投资公司进行组织架构、岗位体系、业务流程和薪酬体系梳理；</w:t>
      </w:r>
    </w:p>
    <w:p w14:paraId="57B182A2">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为某综合型集团企业进行人力资源基础模块体系（岗位、薪酬、绩效）建设。</w:t>
      </w:r>
    </w:p>
    <w:p w14:paraId="0DCB17E3">
      <w:pPr>
        <w:keepNext w:val="0"/>
        <w:keepLines w:val="0"/>
        <w:pageBreakBefore w:val="0"/>
        <w:widowControl/>
        <w:kinsoku/>
        <w:wordWrap/>
        <w:overflowPunct/>
        <w:topLinePunct w:val="0"/>
        <w:autoSpaceDE/>
        <w:autoSpaceDN/>
        <w:bidi w:val="0"/>
        <w:adjustRightInd/>
        <w:snapToGrid/>
        <w:spacing w:after="0" w:line="520" w:lineRule="exact"/>
        <w:textAlignment w:val="auto"/>
        <w:rPr>
          <w:rFonts w:hint="eastAsia" w:ascii="黑体" w:hAnsi="黑体" w:eastAsia="黑体" w:cs="黑体"/>
          <w:sz w:val="28"/>
          <w:szCs w:val="28"/>
        </w:rPr>
      </w:pPr>
    </w:p>
    <w:p w14:paraId="2ADBFF2F">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黑体" w:hAnsi="黑体" w:eastAsia="黑体" w:cs="黑体"/>
          <w:sz w:val="28"/>
          <w:szCs w:val="28"/>
        </w:rPr>
      </w:pPr>
      <w:r>
        <w:rPr>
          <w:sz w:val="28"/>
        </w:rPr>
        <mc:AlternateContent>
          <mc:Choice Requires="wps">
            <w:drawing>
              <wp:anchor distT="0" distB="0" distL="114300" distR="114300" simplePos="0" relativeHeight="251659264" behindDoc="0" locked="0" layoutInCell="1" allowOverlap="1">
                <wp:simplePos x="0" y="0"/>
                <wp:positionH relativeFrom="column">
                  <wp:posOffset>4582160</wp:posOffset>
                </wp:positionH>
                <wp:positionV relativeFrom="paragraph">
                  <wp:posOffset>55245</wp:posOffset>
                </wp:positionV>
                <wp:extent cx="993140" cy="1163955"/>
                <wp:effectExtent l="5080" t="4445" r="11430" b="12700"/>
                <wp:wrapNone/>
                <wp:docPr id="1" name="文本框 1"/>
                <wp:cNvGraphicFramePr/>
                <a:graphic xmlns:a="http://schemas.openxmlformats.org/drawingml/2006/main">
                  <a:graphicData uri="http://schemas.microsoft.com/office/word/2010/wordprocessingShape">
                    <wps:wsp>
                      <wps:cNvSpPr txBox="1"/>
                      <wps:spPr>
                        <a:xfrm>
                          <a:off x="5327650" y="1089025"/>
                          <a:ext cx="993140" cy="11639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09AA3526">
                            <w:r>
                              <w:drawing>
                                <wp:inline distT="0" distB="0" distL="114300" distR="114300">
                                  <wp:extent cx="949325" cy="998220"/>
                                  <wp:effectExtent l="0" t="0" r="317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949325" cy="99822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0.8pt;margin-top:4.35pt;height:91.65pt;width:78.2pt;z-index:251659264;mso-width-relative:page;mso-height-relative:page;" fillcolor="#FFFFFF [3201]" filled="t" stroked="t" coordsize="21600,21600" o:gfxdata="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">
                <v:fill on="t" focussize="0,0"/>
                <v:stroke weight="0.5pt" color="#FFFFFF [3212]" joinstyle="round"/>
                <v:imagedata o:title=""/>
                <o:lock v:ext="edit" aspectratio="f"/>
                <v:textbox>
                  <w:txbxContent>
                    <w:p w14:paraId="09AA3526">
                      <w:r>
                        <w:drawing>
                          <wp:inline distT="0" distB="0" distL="114300" distR="114300">
                            <wp:extent cx="949325" cy="998220"/>
                            <wp:effectExtent l="0" t="0" r="3175" b="1143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949325" cy="998220"/>
                                    </a:xfrm>
                                    <a:prstGeom prst="rect">
                                      <a:avLst/>
                                    </a:prstGeom>
                                    <a:noFill/>
                                    <a:ln>
                                      <a:noFill/>
                                    </a:ln>
                                  </pic:spPr>
                                </pic:pic>
                              </a:graphicData>
                            </a:graphic>
                          </wp:inline>
                        </w:drawing>
                      </w:r>
                    </w:p>
                  </w:txbxContent>
                </v:textbox>
              </v:shape>
            </w:pict>
          </mc:Fallback>
        </mc:AlternateContent>
      </w:r>
      <w:r>
        <w:rPr>
          <w:rFonts w:hint="eastAsia" w:ascii="黑体" w:hAnsi="黑体" w:eastAsia="黑体" w:cs="黑体"/>
          <w:sz w:val="28"/>
          <w:szCs w:val="28"/>
        </w:rPr>
        <w:t>夏楠: 摩根世纪资深专家、人力资源与组织变革专家</w:t>
      </w:r>
    </w:p>
    <w:p w14:paraId="298E60E8">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曾 任：可口可乐公司、中粮集团、加多宝集团、</w:t>
      </w:r>
    </w:p>
    <w:p w14:paraId="661E79E3">
      <w:pPr>
        <w:keepNext w:val="0"/>
        <w:keepLines w:val="0"/>
        <w:pageBreakBefore w:val="0"/>
        <w:widowControl/>
        <w:kinsoku/>
        <w:wordWrap/>
        <w:overflowPunct/>
        <w:topLinePunct w:val="0"/>
        <w:autoSpaceDE/>
        <w:autoSpaceDN/>
        <w:bidi w:val="0"/>
        <w:adjustRightInd/>
        <w:snapToGrid/>
        <w:spacing w:after="0" w:line="520" w:lineRule="exact"/>
        <w:textAlignment w:val="auto"/>
        <w:rPr>
          <w:rFonts w:hint="eastAsia" w:ascii="仿宋" w:hAnsi="仿宋" w:eastAsia="仿宋" w:cs="仿宋"/>
          <w:sz w:val="28"/>
          <w:szCs w:val="28"/>
        </w:rPr>
      </w:pPr>
      <w:r>
        <w:rPr>
          <w:rFonts w:hint="eastAsia" w:ascii="仿宋" w:hAnsi="仿宋" w:eastAsia="仿宋" w:cs="仿宋"/>
          <w:sz w:val="28"/>
          <w:szCs w:val="28"/>
        </w:rPr>
        <w:t>某大型生物医药集团等多家知名企业人力资源及企业</w:t>
      </w:r>
    </w:p>
    <w:p w14:paraId="6005B9B6">
      <w:pPr>
        <w:keepNext w:val="0"/>
        <w:keepLines w:val="0"/>
        <w:pageBreakBefore w:val="0"/>
        <w:widowControl/>
        <w:kinsoku/>
        <w:wordWrap/>
        <w:overflowPunct/>
        <w:topLinePunct w:val="0"/>
        <w:autoSpaceDE/>
        <w:autoSpaceDN/>
        <w:bidi w:val="0"/>
        <w:adjustRightInd/>
        <w:snapToGrid/>
        <w:spacing w:after="0" w:line="520" w:lineRule="exact"/>
        <w:textAlignment w:val="auto"/>
        <w:rPr>
          <w:rFonts w:hint="eastAsia" w:ascii="仿宋" w:hAnsi="仿宋" w:eastAsia="仿宋" w:cs="仿宋"/>
          <w:sz w:val="28"/>
          <w:szCs w:val="28"/>
        </w:rPr>
      </w:pPr>
      <w:r>
        <w:rPr>
          <w:rFonts w:hint="eastAsia" w:ascii="仿宋" w:hAnsi="仿宋" w:eastAsia="仿宋" w:cs="仿宋"/>
          <w:sz w:val="28"/>
          <w:szCs w:val="28"/>
        </w:rPr>
        <w:t>运营高管职务。</w:t>
      </w:r>
    </w:p>
    <w:p w14:paraId="70558AFE">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现 任：北京中外企业人力资源协会常务理事；中商企业协会人力资源分会特邀理事；中国人力资源开发研究会智库专家；中国人民大学商学院MBA、劳动人事学院专业硕士企业实践导师。</w:t>
      </w:r>
    </w:p>
    <w:p w14:paraId="6CA09065">
      <w:pPr>
        <w:keepNext w:val="0"/>
        <w:keepLines w:val="0"/>
        <w:pageBreakBefore w:val="0"/>
        <w:widowControl/>
        <w:kinsoku/>
        <w:wordWrap/>
        <w:overflowPunct/>
        <w:topLinePunct w:val="0"/>
        <w:autoSpaceDE/>
        <w:autoSpaceDN/>
        <w:bidi w:val="0"/>
        <w:adjustRightInd/>
        <w:snapToGrid/>
        <w:spacing w:after="0" w:line="520" w:lineRule="exact"/>
        <w:textAlignment w:val="auto"/>
        <w:rPr>
          <w:rFonts w:hint="eastAsia" w:ascii="仿宋" w:hAnsi="仿宋" w:eastAsia="仿宋" w:cs="仿宋"/>
          <w:sz w:val="28"/>
          <w:szCs w:val="28"/>
        </w:rPr>
      </w:pPr>
      <w:r>
        <w:rPr>
          <w:rFonts w:hint="eastAsia" w:ascii="仿宋" w:hAnsi="仿宋" w:eastAsia="仿宋" w:cs="仿宋"/>
          <w:sz w:val="28"/>
          <w:szCs w:val="28"/>
        </w:rPr>
        <w:t>擅长领域：</w:t>
      </w:r>
    </w:p>
    <w:p w14:paraId="734A0248">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组织变革管理、组织重构、人力资源变革管理、企业运营管理、人力资源战略规划。</w:t>
      </w:r>
    </w:p>
    <w:p w14:paraId="1DA3F12F">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sz w:val="28"/>
        </w:rPr>
        <mc:AlternateContent>
          <mc:Choice Requires="wps">
            <w:drawing>
              <wp:anchor distT="0" distB="0" distL="114300" distR="114300" simplePos="0" relativeHeight="251660288" behindDoc="0" locked="0" layoutInCell="1" allowOverlap="1">
                <wp:simplePos x="0" y="0"/>
                <wp:positionH relativeFrom="column">
                  <wp:posOffset>4604385</wp:posOffset>
                </wp:positionH>
                <wp:positionV relativeFrom="paragraph">
                  <wp:posOffset>226060</wp:posOffset>
                </wp:positionV>
                <wp:extent cx="993140" cy="1163955"/>
                <wp:effectExtent l="5080" t="4445" r="11430" b="12700"/>
                <wp:wrapNone/>
                <wp:docPr id="3" name="文本框 3"/>
                <wp:cNvGraphicFramePr/>
                <a:graphic xmlns:a="http://schemas.openxmlformats.org/drawingml/2006/main">
                  <a:graphicData uri="http://schemas.microsoft.com/office/word/2010/wordprocessingShape">
                    <wps:wsp>
                      <wps:cNvSpPr txBox="1"/>
                      <wps:spPr>
                        <a:xfrm>
                          <a:off x="0" y="0"/>
                          <a:ext cx="993140" cy="1163955"/>
                        </a:xfrm>
                        <a:prstGeom prst="rect">
                          <a:avLst/>
                        </a:prstGeom>
                        <a:solidFill>
                          <a:schemeClr val="lt1"/>
                        </a:solidFill>
                        <a:ln w="6350">
                          <a:solidFill>
                            <a:schemeClr val="bg1"/>
                          </a:solidFill>
                        </a:ln>
                      </wps:spPr>
                      <wps:style>
                        <a:lnRef idx="0">
                          <a:schemeClr val="accent1"/>
                        </a:lnRef>
                        <a:fillRef idx="0">
                          <a:schemeClr val="accent1"/>
                        </a:fillRef>
                        <a:effectRef idx="0">
                          <a:schemeClr val="accent1"/>
                        </a:effectRef>
                        <a:fontRef idx="minor">
                          <a:schemeClr val="dk1"/>
                        </a:fontRef>
                      </wps:style>
                      <wps:txbx>
                        <w:txbxContent>
                          <w:p w14:paraId="41D3F3B5">
                            <w:r>
                              <w:drawing>
                                <wp:inline distT="0" distB="0" distL="114300" distR="114300">
                                  <wp:extent cx="802640" cy="972185"/>
                                  <wp:effectExtent l="0" t="0" r="16510" b="184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802640" cy="97218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2.55pt;margin-top:17.8pt;height:91.65pt;width:78.2pt;z-index:251660288;mso-width-relative:page;mso-height-relative:page;" fillcolor="#FFFFFF [3201]" filled="t" stroked="t" coordsize="21600,21600" o:gfxdata="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38Z3P2QAAAAoBAAAP&#10;AAAAAAAAAAEAIAAAACIAAABkcnMvZG93bnJldi54bWxQSwECFAAUAAAACACHTuJAQYBuNlACAAC4&#10;BAAADgAAAAAAAAABACAAAAAoAQAAZHJzL2Uyb0RvYy54bWxQSwUGAAAAAAYABgBZAQAA6gUAAAAA&#10;">
                <v:fill on="t" focussize="0,0"/>
                <v:stroke weight="0.5pt" color="#FFFFFF [3212]" joinstyle="round"/>
                <v:imagedata o:title=""/>
                <o:lock v:ext="edit" aspectratio="f"/>
                <v:textbox>
                  <w:txbxContent>
                    <w:p w14:paraId="41D3F3B5">
                      <w:r>
                        <w:drawing>
                          <wp:inline distT="0" distB="0" distL="114300" distR="114300">
                            <wp:extent cx="802640" cy="972185"/>
                            <wp:effectExtent l="0" t="0" r="16510" b="1841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8"/>
                                    <a:stretch>
                                      <a:fillRect/>
                                    </a:stretch>
                                  </pic:blipFill>
                                  <pic:spPr>
                                    <a:xfrm>
                                      <a:off x="0" y="0"/>
                                      <a:ext cx="802640" cy="972185"/>
                                    </a:xfrm>
                                    <a:prstGeom prst="rect">
                                      <a:avLst/>
                                    </a:prstGeom>
                                    <a:noFill/>
                                    <a:ln>
                                      <a:noFill/>
                                    </a:ln>
                                  </pic:spPr>
                                </pic:pic>
                              </a:graphicData>
                            </a:graphic>
                          </wp:inline>
                        </w:drawing>
                      </w:r>
                    </w:p>
                  </w:txbxContent>
                </v:textbox>
              </v:shape>
            </w:pict>
          </mc:Fallback>
        </mc:AlternateContent>
      </w:r>
    </w:p>
    <w:p w14:paraId="73631B8B">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黑体" w:hAnsi="黑体" w:eastAsia="黑体" w:cs="黑体"/>
          <w:sz w:val="28"/>
          <w:szCs w:val="28"/>
          <w:lang w:val="en-US" w:eastAsia="zh-CN"/>
        </w:rPr>
      </w:pPr>
      <w:r>
        <w:rPr>
          <w:rFonts w:hint="eastAsia" w:ascii="黑体" w:hAnsi="黑体" w:eastAsia="黑体" w:cs="黑体"/>
          <w:sz w:val="28"/>
          <w:szCs w:val="28"/>
        </w:rPr>
        <w:t>秦曼</w:t>
      </w:r>
      <w:r>
        <w:rPr>
          <w:rFonts w:hint="eastAsia" w:ascii="黑体" w:hAnsi="黑体" w:eastAsia="黑体" w:cs="黑体"/>
          <w:sz w:val="28"/>
          <w:szCs w:val="28"/>
          <w:lang w:eastAsia="zh-CN"/>
        </w:rPr>
        <w:t>：</w:t>
      </w:r>
      <w:r>
        <w:rPr>
          <w:rFonts w:hint="eastAsia" w:ascii="黑体" w:hAnsi="黑体" w:eastAsia="黑体" w:cs="黑体"/>
          <w:sz w:val="28"/>
          <w:szCs w:val="28"/>
          <w:lang w:val="en-US" w:eastAsia="zh-CN"/>
        </w:rPr>
        <w:t>摩根世纪资深专家、资深企业顾问</w:t>
      </w:r>
    </w:p>
    <w:p w14:paraId="66A34180">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曾 任：壳牌公司组织有效性顾问和人力资源总经理，</w:t>
      </w:r>
    </w:p>
    <w:p w14:paraId="2AD3738A">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有近30年世界级跨国公司的组织发展与人力资源总</w:t>
      </w:r>
    </w:p>
    <w:p w14:paraId="7D52D7A9">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rPr>
        <w:t>监的管理经验，其中包括诺华、施耐德电气、康菲石油和苏伊士集团，积累了在美国、欧洲及亚太等多元文化背景下的工作与管理经验。</w:t>
      </w:r>
    </w:p>
    <w:p w14:paraId="540CDA1F">
      <w:pPr>
        <w:keepNext w:val="0"/>
        <w:keepLines w:val="0"/>
        <w:pageBreakBefore w:val="0"/>
        <w:widowControl/>
        <w:kinsoku/>
        <w:wordWrap/>
        <w:overflowPunct/>
        <w:topLinePunct w:val="0"/>
        <w:autoSpaceDE/>
        <w:autoSpaceDN/>
        <w:bidi w:val="0"/>
        <w:adjustRightInd/>
        <w:snapToGrid/>
        <w:spacing w:after="0" w:line="520" w:lineRule="exact"/>
        <w:textAlignment w:val="auto"/>
        <w:rPr>
          <w:rFonts w:hint="eastAsia" w:ascii="仿宋" w:hAnsi="仿宋" w:eastAsia="仿宋" w:cs="仿宋"/>
          <w:sz w:val="28"/>
          <w:szCs w:val="28"/>
        </w:rPr>
      </w:pPr>
      <w:r>
        <w:rPr>
          <w:rFonts w:hint="eastAsia" w:ascii="仿宋" w:hAnsi="仿宋" w:eastAsia="仿宋" w:cs="仿宋"/>
          <w:sz w:val="28"/>
          <w:szCs w:val="28"/>
        </w:rPr>
        <w:t>专注于：以顾问角色支持跨文化领导团队提高领导团队有效性，完成组织变革与转型，重塑企业文化、实现业绩突破；曾经服务多家顶级跨国公司；在高潜员工的发现与培养，基层管理者的培养、高管的测评与发展，以及团队建设与有效性方面都积累了丰富理论知识与实战经验。</w:t>
      </w:r>
    </w:p>
    <w:p w14:paraId="76A0120A">
      <w:pPr>
        <w:keepNext w:val="0"/>
        <w:keepLines w:val="0"/>
        <w:pageBreakBefore w:val="0"/>
        <w:widowControl/>
        <w:kinsoku/>
        <w:wordWrap/>
        <w:overflowPunct/>
        <w:topLinePunct w:val="0"/>
        <w:autoSpaceDE/>
        <w:autoSpaceDN/>
        <w:bidi w:val="0"/>
        <w:adjustRightInd/>
        <w:snapToGrid/>
        <w:spacing w:after="0" w:line="520" w:lineRule="exact"/>
        <w:ind w:firstLine="560" w:firstLineChars="200"/>
        <w:textAlignment w:val="auto"/>
        <w:rPr>
          <w:rFonts w:hint="eastAsia" w:ascii="仿宋" w:hAnsi="仿宋" w:eastAsia="仿宋" w:cs="仿宋"/>
          <w:sz w:val="28"/>
          <w:szCs w:val="28"/>
        </w:rPr>
      </w:pPr>
      <w:r>
        <w:rPr>
          <w:rFonts w:hint="eastAsia" w:ascii="仿宋" w:hAnsi="仿宋" w:eastAsia="仿宋" w:cs="仿宋"/>
          <w:sz w:val="28"/>
          <w:szCs w:val="28"/>
          <w:lang w:val="en-US" w:eastAsia="zh-CN"/>
        </w:rPr>
        <w:t>擅长：</w:t>
      </w:r>
      <w:r>
        <w:rPr>
          <w:rFonts w:hint="eastAsia" w:ascii="仿宋" w:hAnsi="仿宋" w:eastAsia="仿宋" w:cs="仿宋"/>
          <w:sz w:val="28"/>
          <w:szCs w:val="28"/>
        </w:rPr>
        <w:t>致力于支持出海企业在跨文化背景下战略落地、领导力发展、人才管理，绩效改进、团队打造及文化建设，旨在通过有效的组织与人才战略助力企业实现国际化和全球化的目标。</w:t>
      </w:r>
    </w:p>
    <w:p w14:paraId="46DB7F96">
      <w:pPr>
        <w:keepNext w:val="0"/>
        <w:keepLines w:val="0"/>
        <w:pageBreakBefore w:val="0"/>
        <w:widowControl/>
        <w:kinsoku/>
        <w:wordWrap/>
        <w:overflowPunct/>
        <w:topLinePunct w:val="0"/>
        <w:autoSpaceDE/>
        <w:autoSpaceDN/>
        <w:bidi w:val="0"/>
        <w:adjustRightInd/>
        <w:snapToGrid/>
        <w:spacing w:after="0" w:line="520" w:lineRule="exact"/>
        <w:textAlignment w:val="auto"/>
        <w:rPr>
          <w:rFonts w:hint="eastAsia" w:ascii="仿宋" w:hAnsi="仿宋" w:eastAsia="仿宋" w:cs="仿宋"/>
          <w:sz w:val="28"/>
          <w:szCs w:val="28"/>
        </w:rPr>
      </w:pPr>
    </w:p>
    <w:p w14:paraId="5B26A772">
      <w:pPr>
        <w:keepNext w:val="0"/>
        <w:keepLines w:val="0"/>
        <w:pageBreakBefore w:val="0"/>
        <w:widowControl/>
        <w:kinsoku/>
        <w:wordWrap/>
        <w:overflowPunct/>
        <w:topLinePunct w:val="0"/>
        <w:autoSpaceDE/>
        <w:autoSpaceDN/>
        <w:bidi w:val="0"/>
        <w:adjustRightInd/>
        <w:snapToGrid/>
        <w:spacing w:after="0" w:line="520" w:lineRule="exact"/>
        <w:jc w:val="both"/>
        <w:textAlignment w:val="auto"/>
        <w:rPr>
          <w:rFonts w:hint="eastAsia" w:ascii="仿宋" w:hAnsi="仿宋" w:eastAsia="仿宋" w:cs="仿宋"/>
          <w:sz w:val="28"/>
          <w:szCs w:val="28"/>
          <w:lang w:val="en-US" w:eastAsia="zh-CN"/>
        </w:rPr>
      </w:pPr>
    </w:p>
    <w:p w14:paraId="6B4226AE">
      <w:pPr>
        <w:ind w:left="567"/>
      </w:pPr>
    </w:p>
    <w:sectPr>
      <w:pgSz w:w="12240" w:h="15840"/>
      <w:pgMar w:top="1440" w:right="1803" w:bottom="1440" w:left="1803"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Segoe UI Emoji">
    <w:panose1 w:val="020B0502040204020203"/>
    <w:charset w:val="00"/>
    <w:family w:val="auto"/>
    <w:pitch w:val="default"/>
    <w:sig w:usb0="00000001" w:usb1="02000000" w:usb2="08000000" w:usb3="00000000" w:csb0="00000001" w:csb1="00000000"/>
  </w:font>
  <w:font w:name="Courier New">
    <w:panose1 w:val="02070309020205020404"/>
    <w:charset w:val="00"/>
    <w:family w:val="auto"/>
    <w:pitch w:val="default"/>
    <w:sig w:usb0="E0002EFF" w:usb1="C0007843" w:usb2="00000009" w:usb3="00000000" w:csb0="400001FF" w:csb1="FFFF0000"/>
  </w:font>
  <w:font w:name="Yu Gothic">
    <w:panose1 w:val="020B0400000000000000"/>
    <w:charset w:val="80"/>
    <w:family w:val="auto"/>
    <w:pitch w:val="default"/>
    <w:sig w:usb0="E00002FF" w:usb1="2AC7FDFF" w:usb2="00000016" w:usb3="00000000" w:csb0="2002009F" w:csb1="00000000"/>
  </w:font>
  <w:font w:name="仿宋">
    <w:panose1 w:val="02010609060101010101"/>
    <w:charset w:val="86"/>
    <w:family w:val="auto"/>
    <w:pitch w:val="default"/>
    <w:sig w:usb0="800002BF" w:usb1="38CF7CFA" w:usb2="00000016" w:usb3="00000000" w:csb0="00040001" w:csb1="0000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2FB2404"/>
    <w:rsid w:val="7EF54367"/>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40"/>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30"/>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rPr>
      <w:rFonts w:ascii="微软雅黑" w:hAnsi="微软雅黑" w:eastAsia="微软雅黑"/>
    </w:r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21</Pages>
  <Words>1251</Words>
  <Characters>1267</Characters>
  <Lines>0</Lines>
  <Paragraphs>0</Paragraphs>
  <TotalTime>0</TotalTime>
  <ScaleCrop>false</ScaleCrop>
  <LinksUpToDate>false</LinksUpToDate>
  <CharactersWithSpaces>1279</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Carl</cp:lastModifiedBy>
  <dcterms:modified xsi:type="dcterms:W3CDTF">2026-05-19T12:29:56Z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eyJoZGlkIjoiYTIwN2IzNGU2Yjg0MzlmMzgyNTA4M2NiMmQzOWJkYWYiLCJ1c2VySWQiOiIyNTQ0NDU5NjMifQ==</vt:lpwstr>
  </property>
  <property fmtid="{D5CDD505-2E9C-101B-9397-08002B2CF9AE}" pid="3" name="KSOProductBuildVer">
    <vt:lpwstr>2052-12.1.0.26375</vt:lpwstr>
  </property>
  <property fmtid="{D5CDD505-2E9C-101B-9397-08002B2CF9AE}" pid="4" name="ICV">
    <vt:lpwstr>33E09699753C4E8BA444F6727EA04AD8_12</vt:lpwstr>
  </property>
</Properties>
</file>