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520" w:lineRule="exact"/>
      </w:pPr>
      <w:r>
        <w:rPr>
          <w:rFonts w:ascii="FangSong" w:cs="FangSong" w:eastAsia="FangSong" w:hAnsi="FangSong"/>
          <w:sz w:val="28"/>
          <w:szCs w:val="28"/>
        </w:rPr>
        <w:t xml:space="preserve"/>
      </w:r>
    </w:p>
    <w:p>
      <w:pPr>
        <w:spacing w:line="520" w:lineRule="exact"/>
      </w:pPr>
      <w:r>
        <w:rPr>
          <w:rFonts w:ascii="FangSong" w:cs="FangSong" w:eastAsia="FangSong" w:hAnsi="FangSong"/>
          <w:sz w:val="28"/>
          <w:szCs w:val="28"/>
        </w:rPr>
        <w:t xml:space="preserve"/>
      </w:r>
    </w:p>
    <w:p>
      <w:pPr>
        <w:spacing w:line="520" w:lineRule="exact"/>
      </w:pPr>
      <w:r>
        <w:rPr>
          <w:rFonts w:ascii="FangSong" w:cs="FangSong" w:eastAsia="FangSong" w:hAnsi="FangSong"/>
          <w:sz w:val="28"/>
          <w:szCs w:val="28"/>
        </w:rPr>
        <w:t xml:space="preserve"/>
      </w:r>
    </w:p>
    <w:p>
      <w:pPr>
        <w:spacing w:line="520" w:lineRule="exact"/>
      </w:pPr>
      <w:r>
        <w:rPr>
          <w:rFonts w:ascii="FangSong" w:cs="FangSong" w:eastAsia="FangSong" w:hAnsi="FangSong"/>
          <w:sz w:val="28"/>
          <w:szCs w:val="28"/>
        </w:rPr>
        <w:t xml:space="preserve"/>
      </w:r>
    </w:p>
    <w:p>
      <w:pPr>
        <w:spacing w:line="520" w:lineRule="exact"/>
      </w:pPr>
      <w:r>
        <w:rPr>
          <w:rFonts w:ascii="FangSong" w:cs="FangSong" w:eastAsia="FangSong" w:hAnsi="FangSong"/>
          <w:sz w:val="28"/>
          <w:szCs w:val="28"/>
        </w:rPr>
        <w:t xml:space="preserve"/>
      </w:r>
    </w:p>
    <w:p>
      <w:pPr>
        <w:spacing w:after="200" w:line="600" w:lineRule="exact"/>
        <w:jc w:val="center"/>
      </w:pPr>
      <w:r>
        <w:rPr>
          <w:rFonts w:ascii="SimHei" w:cs="SimHei" w:eastAsia="SimHei" w:hAnsi="SimHei"/>
          <w:b/>
          <w:bCs/>
          <w:color w:val="C04000"/>
          <w:sz w:val="52"/>
          <w:szCs w:val="52"/>
        </w:rPr>
        <w:t xml:space="preserve">「旭日领导力发展项目」</w:t>
      </w:r>
    </w:p>
    <w:p>
      <w:pPr>
        <w:spacing w:after="100" w:line="600" w:lineRule="exact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新晋项目经理三年培养品牌方案</w:t>
      </w:r>
    </w:p>
    <w:p>
      <w:pPr>
        <w:spacing w:line="520" w:lineRule="exact"/>
      </w:pPr>
      <w:r>
        <w:rPr>
          <w:rFonts w:ascii="FangSong" w:cs="FangSong" w:eastAsia="FangSong" w:hAnsi="FangSong"/>
          <w:sz w:val="28"/>
          <w:szCs w:val="28"/>
        </w:rPr>
        <w:t xml:space="preserve"/>
      </w:r>
    </w:p>
    <w:p>
      <w:pPr>
        <w:spacing w:after="100" w:line="520" w:lineRule="exact"/>
        <w:jc w:val="center"/>
      </w:pPr>
      <w:r>
        <w:rPr>
          <w:rFonts w:ascii="FangSong" w:cs="FangSong" w:eastAsia="FangSong" w:hAnsi="FangSong"/>
          <w:color w:val="666666"/>
          <w:sz w:val="32"/>
          <w:szCs w:val="32"/>
        </w:rPr>
        <w:t xml:space="preserve">旭日点将  →  旭日出征  →  旭日凯旋</w:t>
      </w:r>
    </w:p>
    <w:p>
      <w:pPr>
        <w:spacing w:line="520" w:lineRule="exact"/>
      </w:pPr>
      <w:r>
        <w:rPr>
          <w:rFonts w:ascii="FangSong" w:cs="FangSong" w:eastAsia="FangSong" w:hAnsi="FangSong"/>
          <w:sz w:val="28"/>
          <w:szCs w:val="28"/>
        </w:rPr>
        <w:t xml:space="preserve"/>
      </w:r>
    </w:p>
    <w:p>
      <w:pPr>
        <w:spacing w:line="520" w:lineRule="exact"/>
      </w:pPr>
      <w:r>
        <w:rPr>
          <w:rFonts w:ascii="FangSong" w:cs="FangSong" w:eastAsia="FangSong" w:hAnsi="FangSong"/>
          <w:sz w:val="28"/>
          <w:szCs w:val="28"/>
        </w:rPr>
        <w:t xml:space="preserve"/>
      </w:r>
    </w:p>
    <w:p>
      <w:pPr>
        <w:spacing w:line="520" w:lineRule="exact"/>
      </w:pPr>
      <w:r>
        <w:rPr>
          <w:rFonts w:ascii="FangSong" w:cs="FangSong" w:eastAsia="FangSong" w:hAnsi="FangSong"/>
          <w:sz w:val="28"/>
          <w:szCs w:val="28"/>
        </w:rPr>
        <w:t xml:space="preserve"/>
      </w:r>
    </w:p>
    <w:p>
      <w:pPr>
        <w:spacing w:line="520" w:lineRule="exact"/>
        <w:jc w:val="center"/>
      </w:pPr>
      <w:r>
        <w:rPr>
          <w:rFonts w:ascii="FangSong" w:cs="FangSong" w:eastAsia="FangSong" w:hAnsi="FangSong"/>
          <w:sz w:val="28"/>
          <w:szCs w:val="28"/>
        </w:rPr>
        <w:t xml:space="preserve">摩根世纪  ×  当升科技</w:t>
      </w:r>
    </w:p>
    <w:p>
      <w:pPr>
        <w:spacing w:line="520" w:lineRule="exact"/>
        <w:jc w:val="center"/>
      </w:pPr>
      <w:r>
        <w:rPr>
          <w:rFonts w:ascii="FangSong" w:cs="FangSong" w:eastAsia="FangSong" w:hAnsi="FangSong"/>
          <w:color w:val="999999"/>
          <w:sz w:val="28"/>
          <w:szCs w:val="28"/>
        </w:rPr>
        <w:t xml:space="preserve">2026年5月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400" w:line="520" w:lineRule="exact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一、品牌概述</w:t>
      </w:r>
    </w:p>
    <w:p>
      <w:pPr>
        <w:spacing w:after="0" w:before="0" w:line="520" w:lineRule="exact"/>
        <w:ind w:firstLine="560"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「旭日领导力发展项目」是摩根世纪为当升科技量身打造的新晋项目经理三年培养品牌。项目以“旭日”为核心意象，以“点将→出征→凯旋”为成长主线，三年三步，一步一个品牌，帮助新晋项目经理完成从“业务能手”到“胜任管理者”再到“能打胜仗的将才”的完整蜕变。</w:t>
      </w:r>
    </w:p>
    <w:p>
      <w:pPr>
        <w:spacing w:after="0" w:before="0" w:line="520" w:lineRule="exact"/>
        <w:ind w:firstLine="560"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品牌名取意于当升科技“旭日东升”之名。“旭日”既是当升的文化基因，也是新晋管理者成长的最佳隐喻——从黎明破晓到烈日当空，从被选中到打胜仗，每一步都对应一种真实的管理者成长状态。</w:t>
      </w:r>
    </w:p>
    <w:p>
      <w:pPr>
        <w:spacing w:after="200" w:before="400" w:line="520" w:lineRule="exact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二、命名渊源</w:t>
      </w:r>
    </w:p>
    <w:p>
      <w:pPr>
        <w:spacing w:after="0" w:before="0" w:line="520" w:lineRule="exact"/>
        <w:ind w:firstLine="560"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本项目品牌命名取意于当升科技企业名称——“当升”即“旭日东升”。以“旭日”命名的培训品牌，天然嵌入当升的文化基因。</w:t>
      </w:r>
    </w:p>
    <w:p>
      <w:pPr>
        <w:spacing w:after="0" w:before="0" w:line="520" w:lineRule="exact"/>
        <w:ind w:firstLine="560"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“旭日”——正气、上升、照亮他人。太阳意象天然契合央企“排头兵”“奋进”“创新”的人才发展理念。项目经理不是被教出来的，而是经历黑夜、穿过破晓、最终高悬当空的。</w:t>
      </w:r>
    </w:p>
    <w:p>
      <w:pPr>
        <w:spacing w:after="200" w:before="400" w:line="520" w:lineRule="exact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三、三年三阶品牌架构</w:t>
      </w:r>
    </w:p>
    <w:p>
      <w:pPr>
        <w:spacing w:after="0" w:before="0" w:line="520" w:lineRule="exact"/>
        <w:ind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“旭日领导力发展项目”包含三个独立且连续的子品牌，对应三年的能力成长阶梯：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04000" w:val="clear"/>
            <w:vAlign w:val="center"/>
          </w:tcPr>
          <w:p>
            <w:pPr>
              <w:spacing w:after="50" w:before="50" w:line="300" w:lineRule="exact"/>
              <w:jc w:val="center"/>
            </w:pPr>
            <w:r>
              <w:rPr>
                <w:rFonts w:ascii="FangSong" w:cs="FangSong" w:eastAsia="FangSong" w:hAnsi="FangSong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04000" w:val="clear"/>
            <w:vAlign w:val="center"/>
          </w:tcPr>
          <w:p>
            <w:pPr>
              <w:spacing w:after="50" w:before="50" w:line="300" w:lineRule="exact"/>
              <w:jc w:val="center"/>
            </w:pPr>
            <w:r>
              <w:rPr>
                <w:rFonts w:ascii="FangSong" w:cs="FangSong" w:eastAsia="FangSong" w:hAnsi="FangSong"/>
                <w:b/>
                <w:bCs/>
                <w:color w:val="FFFFFF"/>
                <w:sz w:val="20"/>
                <w:szCs w:val="20"/>
              </w:rPr>
              <w:t xml:space="preserve">品牌核心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04000" w:val="clear"/>
            <w:vAlign w:val="center"/>
          </w:tcPr>
          <w:p>
            <w:pPr>
              <w:spacing w:after="50" w:before="50" w:line="300" w:lineRule="exact"/>
              <w:jc w:val="center"/>
            </w:pPr>
            <w:r>
              <w:rPr>
                <w:rFonts w:ascii="FangSong" w:cs="FangSong" w:eastAsia="FangSong" w:hAnsi="FangSong"/>
                <w:b/>
                <w:bCs/>
                <w:color w:val="FFFFFF"/>
                <w:sz w:val="20"/>
                <w:szCs w:val="20"/>
              </w:rPr>
              <w:t xml:space="preserve">学员状态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04000" w:val="clear"/>
            <w:vAlign w:val="center"/>
          </w:tcPr>
          <w:p>
            <w:pPr>
              <w:spacing w:after="50" w:before="50" w:line="300" w:lineRule="exact"/>
              <w:jc w:val="center"/>
            </w:pPr>
            <w:r>
              <w:rPr>
                <w:rFonts w:ascii="FangSong" w:cs="FangSong" w:eastAsia="FangSong" w:hAnsi="FangSong"/>
                <w:b/>
                <w:bCs/>
                <w:color w:val="FFFFFF"/>
                <w:sz w:val="20"/>
                <w:szCs w:val="20"/>
              </w:rPr>
              <w:t xml:space="preserve">核心问题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center"/>
            </w:pPr>
            <w:r>
              <w:rPr>
                <w:rFonts w:ascii="FangSong" w:cs="FangSong" w:eastAsia="FangSong" w:hAnsi="FangSong"/>
                <w:b/>
                <w:bCs/>
                <w:color w:val="000000"/>
                <w:sz w:val="20"/>
                <w:szCs w:val="20"/>
              </w:rPr>
              <w:t xml:space="preserve">第1年
旭日点将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left"/>
            </w:pPr>
            <w:r>
              <w:rPr>
                <w:rFonts w:ascii="FangSong" w:cs="FangSong" w:eastAsia="FangSong" w:hAnsi="FangSong"/>
                <w:b/>
                <w:bCs/>
                <w:color w:val="000000"/>
                <w:sz w:val="20"/>
                <w:szCs w:val="20"/>
              </w:rPr>
              <w:t xml:space="preserve">站上点将台</w:t>
            </w:r>
          </w:p>
          <w:p>
            <w:pPr>
              <w:spacing w:after="50" w:before="50" w:line="300" w:lineRule="exac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color w:val="666666"/>
                <w:sz w:val="20"/>
                <w:szCs w:val="20"/>
              </w:rPr>
              <w:t xml:space="preserve">从人群中被选中，从技术骨干到管理者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color w:val="000000"/>
                <w:sz w:val="20"/>
                <w:szCs w:val="20"/>
              </w:rPr>
              <w:t xml:space="preserve">被选中，既兴奋又不安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color w:val="000000"/>
                <w:sz w:val="20"/>
                <w:szCs w:val="20"/>
              </w:rPr>
              <w:t xml:space="preserve">凭什么选我？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center"/>
            </w:pPr>
            <w:r>
              <w:rPr>
                <w:rFonts w:ascii="FangSong" w:cs="FangSong" w:eastAsia="FangSong" w:hAnsi="FangSong"/>
                <w:b/>
                <w:bCs/>
                <w:color w:val="000000"/>
                <w:sz w:val="20"/>
                <w:szCs w:val="20"/>
              </w:rPr>
              <w:t xml:space="preserve">第2年
旭日出征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left"/>
            </w:pPr>
            <w:r>
              <w:rPr>
                <w:rFonts w:ascii="FangSong" w:cs="FangSong" w:eastAsia="FangSong" w:hAnsi="FangSong"/>
                <w:b/>
                <w:bCs/>
                <w:color w:val="000000"/>
                <w:sz w:val="20"/>
                <w:szCs w:val="20"/>
              </w:rPr>
              <w:t xml:space="preserve">带兵上战场</w:t>
            </w:r>
          </w:p>
          <w:p>
            <w:pPr>
              <w:spacing w:after="50" w:before="50" w:line="300" w:lineRule="exac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color w:val="666666"/>
                <w:sz w:val="20"/>
                <w:szCs w:val="20"/>
              </w:rPr>
              <w:t xml:space="preserve">走出舒适区，在真实战场上带队攻坚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color w:val="000000"/>
                <w:sz w:val="20"/>
                <w:szCs w:val="20"/>
              </w:rPr>
              <w:t xml:space="preserve">在现场，真刀真枪干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color w:val="000000"/>
                <w:sz w:val="20"/>
                <w:szCs w:val="20"/>
              </w:rPr>
              <w:t xml:space="preserve">凭什么跟我走？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center"/>
            </w:pPr>
            <w:r>
              <w:rPr>
                <w:rFonts w:ascii="FangSong" w:cs="FangSong" w:eastAsia="FangSong" w:hAnsi="FangSong"/>
                <w:b/>
                <w:bCs/>
                <w:color w:val="000000"/>
                <w:sz w:val="20"/>
                <w:szCs w:val="20"/>
              </w:rPr>
              <w:t xml:space="preserve">第3年
旭日凯旋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left"/>
            </w:pPr>
            <w:r>
              <w:rPr>
                <w:rFonts w:ascii="FangSong" w:cs="FangSong" w:eastAsia="FangSong" w:hAnsi="FangSong"/>
                <w:b/>
                <w:bCs/>
                <w:color w:val="000000"/>
                <w:sz w:val="20"/>
                <w:szCs w:val="20"/>
              </w:rPr>
              <w:t xml:space="preserve">带着战功回来</w:t>
            </w:r>
          </w:p>
          <w:p>
            <w:pPr>
              <w:spacing w:after="50" w:before="50" w:line="300" w:lineRule="exac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color w:val="666666"/>
                <w:sz w:val="20"/>
                <w:szCs w:val="20"/>
              </w:rPr>
              <w:t xml:space="preserve">项目交付，方法论沉淀，培养下一代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color w:val="000000"/>
                <w:sz w:val="20"/>
                <w:szCs w:val="20"/>
              </w:rPr>
              <w:t xml:space="preserve">独立操盘，沉淀战功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color w:val="000000"/>
                <w:sz w:val="20"/>
                <w:szCs w:val="20"/>
              </w:rPr>
              <w:t xml:space="preserve">凭什么记住我？</w:t>
            </w:r>
          </w:p>
        </w:tc>
      </w:tr>
    </w:tbl>
    <w:p>
      <w:pPr>
        <w:spacing w:line="520" w:lineRule="exact"/>
      </w:pPr>
      <w:r>
        <w:rPr>
          <w:rFonts w:ascii="FangSong" w:cs="FangSong" w:eastAsia="FangSong" w:hAnsi="FangSong"/>
          <w:sz w:val="28"/>
          <w:szCs w:val="28"/>
        </w:rPr>
        <w:t xml:space="preserve"/>
      </w:r>
    </w:p>
    <w:p>
      <w:pPr>
        <w:spacing w:after="200" w:before="400" w:line="520" w:lineRule="exact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四、旭日点将 — 第1年：站上点将台</w:t>
      </w:r>
    </w:p>
    <w:p>
      <w:pPr>
        <w:spacing w:after="0" w:before="0" w:line="520" w:lineRule="exact"/>
        <w:ind w:firstLine="560"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“点将”取自古代拜将台——真正的将军不是自己站上去的，是被组织“点”上去的。第1年的核心主题是身份转化。</w:t>
      </w:r>
    </w:p>
    <w:p>
      <w:pPr>
        <w:spacing w:after="100" w:before="200" w:line="520" w:lineRule="exac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学员画像</w:t>
      </w:r>
    </w:p>
    <w:p>
      <w:pPr>
        <w:spacing w:after="0" w:before="0" w:line="520" w:lineRule="exact"/>
        <w:ind w:firstLine="560"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刚从技术/业务岗位被选拔为新晋管理者，管理经验0–2年。最大的心理状态是“为什么选我？我准备好了吗？”。这个阶段不急于给工具，先完成心智上的转身。</w:t>
      </w:r>
    </w:p>
    <w:p>
      <w:pPr>
        <w:spacing w:after="100" w:before="200" w:line="520" w:lineRule="exac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能力焦点</w:t>
      </w:r>
    </w:p>
    <w:p>
      <w:pPr>
        <w:spacing w:after="0" w:before="0" w:line="520" w:lineRule="exact"/>
        <w:ind w:firstLine="560"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角色转身（从“把事做好”到“通过他人把事做好”）、自我认知（管理风格、优势与盲区）、管理基本功（目标拆解、绩效管理基础、基本管理语言）。</w:t>
      </w:r>
    </w:p>
    <w:p>
      <w:pPr>
        <w:spacing w:after="100" w:before="200" w:line="520" w:lineRule="exac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关键产出</w:t>
      </w:r>
    </w:p>
    <w:p>
      <w:pPr>
        <w:spacing w:after="0" w:before="0" w:line="520" w:lineRule="exact"/>
        <w:ind w:firstLine="560"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个人发展计划（IDP）、管理者角色认知报告、目标拆解与绩效管理基础工具。</w:t>
      </w:r>
    </w:p>
    <w:p>
      <w:pPr>
        <w:spacing w:after="200" w:before="400" w:line="520" w:lineRule="exact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五、旭日出征 — 第2年：带兵上战场</w:t>
      </w:r>
    </w:p>
    <w:p>
      <w:pPr>
        <w:spacing w:after="0" w:before="0" w:line="520" w:lineRule="exact"/>
        <w:ind w:firstLine="560"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“出征”是组织对项目经理最郑重的一步——你不再是学员，你是扛旗的人。第2年的核心主题是带队实战。</w:t>
      </w:r>
    </w:p>
    <w:p>
      <w:pPr>
        <w:spacing w:after="100" w:before="200" w:line="520" w:lineRule="exac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学员画像</w:t>
      </w:r>
    </w:p>
    <w:p>
      <w:pPr>
        <w:spacing w:after="0" w:before="0" w:line="520" w:lineRule="exact"/>
        <w:ind w:firstLine="560"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已度过身份焦虑期，进入真实的管理困境——团队冲突、跨部门推诿、资源不足、绩效压力。“凭什么跟我走？我怎么让别人愿意被我带领？”</w:t>
      </w:r>
    </w:p>
    <w:p>
      <w:pPr>
        <w:spacing w:after="100" w:before="200" w:line="520" w:lineRule="exac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能力焦点</w:t>
      </w:r>
    </w:p>
    <w:p>
      <w:pPr>
        <w:spacing w:after="0" w:before="0" w:line="520" w:lineRule="exact"/>
        <w:ind w:firstLine="560"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带队实战（授权赋能、绩效面谈、冲突管理）、跨部门协同（打通部门墙、向上管理）、复盘方法论（从“工作总结”到“系统复盘”的能力跃迁）。</w:t>
      </w:r>
    </w:p>
    <w:p>
      <w:pPr>
        <w:spacing w:after="100" w:before="200" w:line="520" w:lineRule="exac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关键产出</w:t>
      </w:r>
    </w:p>
    <w:p>
      <w:pPr>
        <w:spacing w:after="0" w:before="0" w:line="520" w:lineRule="exact"/>
        <w:ind w:firstLine="560"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团队绩效突破成果、行动学习课题中期报告、复盘方法论实战应用记录。</w:t>
      </w:r>
    </w:p>
    <w:p>
      <w:pPr>
        <w:spacing w:after="200" w:before="400" w:line="520" w:lineRule="exact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六、旭日凯旋 — 第3年：带着战功回来</w:t>
      </w:r>
    </w:p>
    <w:p>
      <w:pPr>
        <w:spacing w:after="0" w:before="0" w:line="520" w:lineRule="exact"/>
        <w:ind w:firstLine="560"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“凯旋”不是结束，而是新的起点。第3年的核心主题是沉淀与传承——你能给组织留下什么？</w:t>
      </w:r>
    </w:p>
    <w:p>
      <w:pPr>
        <w:spacing w:after="100" w:before="200" w:line="520" w:lineRule="exac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学员画像</w:t>
      </w:r>
    </w:p>
    <w:p>
      <w:pPr>
        <w:spacing w:after="0" w:before="0" w:line="520" w:lineRule="exact"/>
        <w:ind w:firstLine="560"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已能独立操盘项目，具备经营思维和风险决策能力。开始思考“我能带出下一个谁？”。从被培养者转变为培养者。</w:t>
      </w:r>
    </w:p>
    <w:p>
      <w:pPr>
        <w:spacing w:after="100" w:before="200" w:line="520" w:lineRule="exac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能力焦点</w:t>
      </w:r>
    </w:p>
    <w:p>
      <w:pPr>
        <w:spacing w:after="0" w:before="0" w:line="520" w:lineRule="exact"/>
        <w:ind w:firstLine="560"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海外项目独立操盘（属地团队管理、合同风控、跨文化沟通）、经营思维（从“交付项目”到“经营项目”）、方法论沉淀与人才输出（案例库建设、带新人PM）。</w:t>
      </w:r>
    </w:p>
    <w:p>
      <w:pPr>
        <w:spacing w:after="100" w:before="200" w:line="520" w:lineRule="exac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关键产出</w:t>
      </w:r>
    </w:p>
    <w:p>
      <w:pPr>
        <w:spacing w:after="0" w:before="0" w:line="520" w:lineRule="exact"/>
        <w:ind w:firstLine="560"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当升项目管理案例库、至少带出1–2名新晋PM、结业答辩与“旭日认证项目经理”授予。</w:t>
      </w:r>
    </w:p>
    <w:p>
      <w:pPr>
        <w:spacing w:after="200" w:before="400" w:line="520" w:lineRule="exact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七、与当升领导力建设三年行动嵌套</w:t>
      </w:r>
    </w:p>
    <w:p>
      <w:pPr>
        <w:spacing w:after="0" w:before="0" w:line="520" w:lineRule="exact"/>
        <w:ind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“旭日领导力发展项目”的三阶段设计与当升科技“领导力建设三年行动（2026–2028）”天然对应：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04000" w:val="clear"/>
            <w:vAlign w:val="center"/>
          </w:tcPr>
          <w:p>
            <w:pPr>
              <w:spacing w:after="50" w:before="50" w:line="300" w:lineRule="exact"/>
              <w:jc w:val="center"/>
            </w:pPr>
            <w:r>
              <w:rPr>
                <w:rFonts w:ascii="FangSong" w:cs="FangSong" w:eastAsia="FangSong" w:hAnsi="FangSong"/>
                <w:b/>
                <w:bCs/>
                <w:color w:val="FFFFFF"/>
                <w:sz w:val="20"/>
                <w:szCs w:val="20"/>
              </w:rPr>
              <w:t xml:space="preserve">当升三年行动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04000" w:val="clear"/>
            <w:vAlign w:val="center"/>
          </w:tcPr>
          <w:p>
            <w:pPr>
              <w:spacing w:after="50" w:before="50" w:line="300" w:lineRule="exact"/>
              <w:jc w:val="center"/>
            </w:pPr>
            <w:r>
              <w:rPr>
                <w:rFonts w:ascii="FangSong" w:cs="FangSong" w:eastAsia="FangSong" w:hAnsi="FangSong"/>
                <w:b/>
                <w:bCs/>
                <w:color w:val="FFFFFF"/>
                <w:sz w:val="20"/>
                <w:szCs w:val="20"/>
              </w:rPr>
              <w:t xml:space="preserve">旭日阶段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04000" w:val="clear"/>
            <w:vAlign w:val="center"/>
          </w:tcPr>
          <w:p>
            <w:pPr>
              <w:spacing w:after="50" w:before="50" w:line="300" w:lineRule="exact"/>
              <w:jc w:val="center"/>
            </w:pPr>
            <w:r>
              <w:rPr>
                <w:rFonts w:ascii="FangSong" w:cs="FangSong" w:eastAsia="FangSong" w:hAnsi="FangSong"/>
                <w:b/>
                <w:bCs/>
                <w:color w:val="FFFFFF"/>
                <w:sz w:val="20"/>
                <w:szCs w:val="20"/>
              </w:rPr>
              <w:t xml:space="preserve">学员视角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color w:val="000000"/>
                <w:sz w:val="20"/>
                <w:szCs w:val="20"/>
              </w:rPr>
              <w:t xml:space="preserve">2026 夯基固本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color w:val="000000"/>
                <w:sz w:val="20"/>
                <w:szCs w:val="20"/>
              </w:rPr>
              <w:t xml:space="preserve">旭日点将（被选中、转身）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color w:val="000000"/>
                <w:sz w:val="20"/>
                <w:szCs w:val="20"/>
              </w:rPr>
              <w:t xml:space="preserve">“我被点了”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color w:val="000000"/>
                <w:sz w:val="20"/>
                <w:szCs w:val="20"/>
              </w:rPr>
              <w:t xml:space="preserve">2027 深化提升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color w:val="000000"/>
                <w:sz w:val="20"/>
                <w:szCs w:val="20"/>
              </w:rPr>
              <w:t xml:space="preserve">旭日出征（上战场、带队）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color w:val="000000"/>
                <w:sz w:val="20"/>
                <w:szCs w:val="20"/>
              </w:rPr>
              <w:t xml:space="preserve">“我在路上”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color w:val="000000"/>
                <w:sz w:val="20"/>
                <w:szCs w:val="20"/>
              </w:rPr>
              <w:t xml:space="preserve">2028 全面跃升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color w:val="000000"/>
                <w:sz w:val="20"/>
                <w:szCs w:val="20"/>
              </w:rPr>
              <w:t xml:space="preserve">旭日凯旋（沉淀战功、带新人）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color w:val="000000"/>
                <w:sz w:val="20"/>
                <w:szCs w:val="20"/>
              </w:rPr>
              <w:t xml:space="preserve">“我打完了，我带新人”</w:t>
            </w:r>
          </w:p>
        </w:tc>
      </w:tr>
    </w:tbl>
    <w:p>
      <w:pPr>
        <w:spacing w:after="0" w:before="100" w:line="520" w:lineRule="exact"/>
        <w:ind w:firstLine="560"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两个框架的嵌套关系可在客户汇报中快速呈现——一页双重嵌套图，客户直接认领。</w:t>
      </w:r>
    </w:p>
    <w:p>
      <w:pPr>
        <w:spacing w:after="200" w:before="400" w:line="520" w:lineRule="exact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八、品牌仪式体系</w:t>
      </w:r>
    </w:p>
    <w:p>
      <w:pPr>
        <w:spacing w:after="0" w:before="0" w:line="520" w:lineRule="exact"/>
        <w:ind w:firstLine="560"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三年三阶对应三个标志性仪式，让品牌不只是名称，而是学员生命中可感知的时刻：</w:t>
      </w:r>
    </w:p>
    <w:p>
      <w:pPr>
        <w:spacing w:after="100" w:before="200" w:line="520" w:lineRule="exac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点将仪式（第1年开营）</w:t>
      </w:r>
    </w:p>
    <w:p>
      <w:pPr>
        <w:spacing w:after="0" w:before="0" w:line="520" w:lineRule="exact"/>
        <w:ind w:firstLine="560"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学员签署承诺书、直线上级授章、董事长见证。这一刻，他不再只是“技术骨干”，他是被组织正式点了将的人。</w:t>
      </w:r>
    </w:p>
    <w:p>
      <w:pPr>
        <w:spacing w:after="100" w:before="200" w:line="520" w:lineRule="exac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出征仪式（第2年开营）</w:t>
      </w:r>
    </w:p>
    <w:p>
      <w:pPr>
        <w:spacing w:after="0" w:before="0" w:line="520" w:lineRule="exact"/>
        <w:ind w:firstLine="560"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学员带领团队接受一项真实业务攻坚任务，向管理层做战前汇报。这一刻，他从“学员”变成“指挥官”，带着旗帜出发。</w:t>
      </w:r>
    </w:p>
    <w:p>
      <w:pPr>
        <w:spacing w:after="100" w:before="200" w:line="520" w:lineRule="exac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凯旋仪式（第3年结业）</w:t>
      </w:r>
    </w:p>
    <w:p>
      <w:pPr>
        <w:spacing w:after="0" w:before="0" w:line="520" w:lineRule="exact"/>
        <w:ind w:firstLine="560"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学员述职答辩、展示三年战功、授予“旭日认证项目经理”。同时担任下一届“点将仪式”的见证嘉宾——从被点将到点将别人，品牌完成自循环。</w:t>
      </w:r>
    </w:p>
    <w:p>
      <w:pPr>
        <w:spacing w:after="200" w:before="400" w:line="520" w:lineRule="exact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九、品牌视觉方向（示意）</w:t>
      </w:r>
    </w:p>
    <w:p>
      <w:pPr>
        <w:spacing w:after="0" w:before="0" w:line="520" w:lineRule="exact"/>
        <w:ind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“旭日”系列为三年三阶配备了差异化的视觉系统：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60"/>
        <w:gridCol w:w="2450"/>
        <w:gridCol w:w="245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04000" w:val="clear"/>
            <w:vAlign w:val="center"/>
          </w:tcPr>
          <w:p>
            <w:pPr>
              <w:spacing w:after="50" w:before="50" w:line="300" w:lineRule="exact"/>
              <w:jc w:val="center"/>
            </w:pPr>
            <w:r>
              <w:rPr>
                <w:rFonts w:ascii="FangSong" w:cs="FangSong" w:eastAsia="FangSong" w:hAnsi="FangSong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6D3" w:val="clear"/>
            <w:vAlign w:val="center"/>
          </w:tcPr>
          <w:p>
            <w:pPr>
              <w:spacing w:after="50" w:before="50" w:line="300" w:lineRule="exact"/>
              <w:jc w:val="center"/>
            </w:pPr>
            <w:r>
              <w:rPr>
                <w:rFonts w:ascii="FangSong" w:cs="FangSong" w:eastAsia="FangSong" w:hAnsi="FangSong"/>
                <w:b/>
                <w:bCs/>
                <w:color w:val="000000"/>
                <w:sz w:val="20"/>
                <w:szCs w:val="20"/>
              </w:rPr>
              <w:t xml:space="preserve">旭日点将（第1年）</w:t>
            </w:r>
          </w:p>
        </w:tc>
        <w:tc>
          <w:tcPr>
            <w:tcW w:type="dxa" w:w="2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6D3" w:val="clear"/>
            <w:vAlign w:val="center"/>
          </w:tcPr>
          <w:p>
            <w:pPr>
              <w:spacing w:after="50" w:before="50" w:line="300" w:lineRule="exact"/>
              <w:jc w:val="center"/>
            </w:pPr>
            <w:r>
              <w:rPr>
                <w:rFonts w:ascii="FangSong" w:cs="FangSong" w:eastAsia="FangSong" w:hAnsi="FangSong"/>
                <w:b/>
                <w:bCs/>
                <w:color w:val="000000"/>
                <w:sz w:val="20"/>
                <w:szCs w:val="20"/>
              </w:rPr>
              <w:t xml:space="preserve">旭日出征（第2年）</w:t>
            </w:r>
          </w:p>
        </w:tc>
        <w:tc>
          <w:tcPr>
            <w:tcW w:type="dxa" w:w="2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6D3" w:val="clear"/>
            <w:vAlign w:val="center"/>
          </w:tcPr>
          <w:p>
            <w:pPr>
              <w:spacing w:after="50" w:before="50" w:line="300" w:lineRule="exact"/>
              <w:jc w:val="center"/>
            </w:pPr>
            <w:r>
              <w:rPr>
                <w:rFonts w:ascii="FangSong" w:cs="FangSong" w:eastAsia="FangSong" w:hAnsi="FangSong"/>
                <w:b/>
                <w:bCs/>
                <w:color w:val="000000"/>
                <w:sz w:val="20"/>
                <w:szCs w:val="20"/>
              </w:rPr>
              <w:t xml:space="preserve">旭日凯旋（第3年）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left"/>
            </w:pPr>
            <w:r>
              <w:rPr>
                <w:rFonts w:ascii="FangSong" w:cs="FangSong" w:eastAsia="FangSong" w:hAnsi="FangSong"/>
                <w:b/>
                <w:bCs/>
                <w:color w:val="000000"/>
                <w:sz w:val="20"/>
                <w:szCs w:val="20"/>
              </w:rPr>
              <w:t xml:space="preserve">主色调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color w:val="000000"/>
                <w:sz w:val="20"/>
                <w:szCs w:val="20"/>
              </w:rPr>
              <w:t xml:space="preserve">晨曦蓝 · 破晓鱼肚白</w:t>
            </w:r>
          </w:p>
        </w:tc>
        <w:tc>
          <w:tcPr>
            <w:tcW w:type="dxa" w:w="2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color w:val="000000"/>
                <w:sz w:val="20"/>
                <w:szCs w:val="20"/>
              </w:rPr>
              <w:t xml:space="preserve">朝阳橙 · 日出金</w:t>
            </w:r>
          </w:p>
        </w:tc>
        <w:tc>
          <w:tcPr>
            <w:tcW w:type="dxa" w:w="2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color w:val="000000"/>
                <w:sz w:val="20"/>
                <w:szCs w:val="20"/>
              </w:rPr>
              <w:t xml:space="preserve">正午红 · 烈日赤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left"/>
            </w:pPr>
            <w:r>
              <w:rPr>
                <w:rFonts w:ascii="FangSong" w:cs="FangSong" w:eastAsia="FangSong" w:hAnsi="FangSong"/>
                <w:b/>
                <w:bCs/>
                <w:color w:val="000000"/>
                <w:sz w:val="20"/>
                <w:szCs w:val="20"/>
              </w:rPr>
              <w:t xml:space="preserve">核心符号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color w:val="000000"/>
                <w:sz w:val="20"/>
                <w:szCs w:val="20"/>
              </w:rPr>
              <w:t xml:space="preserve">地平线 + 将印</w:t>
            </w:r>
          </w:p>
        </w:tc>
        <w:tc>
          <w:tcPr>
            <w:tcW w:type="dxa" w:w="2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color w:val="000000"/>
                <w:sz w:val="20"/>
                <w:szCs w:val="20"/>
              </w:rPr>
              <w:t xml:space="preserve">上升旭日 + 旗帜</w:t>
            </w:r>
          </w:p>
        </w:tc>
        <w:tc>
          <w:tcPr>
            <w:tcW w:type="dxa" w:w="2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color w:val="000000"/>
                <w:sz w:val="20"/>
                <w:szCs w:val="20"/>
              </w:rPr>
              <w:t xml:space="preserve">当空烈日 + 勋章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left"/>
            </w:pPr>
            <w:r>
              <w:rPr>
                <w:rFonts w:ascii="FangSong" w:cs="FangSong" w:eastAsia="FangSong" w:hAnsi="FangSong"/>
                <w:b/>
                <w:bCs/>
                <w:color w:val="000000"/>
                <w:sz w:val="20"/>
                <w:szCs w:val="20"/>
              </w:rPr>
              <w:t xml:space="preserve">仪式道具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color w:val="000000"/>
                <w:sz w:val="20"/>
                <w:szCs w:val="20"/>
              </w:rPr>
              <w:t xml:space="preserve">“将印”徽章</w:t>
            </w:r>
          </w:p>
        </w:tc>
        <w:tc>
          <w:tcPr>
            <w:tcW w:type="dxa" w:w="2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color w:val="000000"/>
                <w:sz w:val="20"/>
                <w:szCs w:val="20"/>
              </w:rPr>
              <w:t xml:space="preserve">“在路上”臂章</w:t>
            </w:r>
          </w:p>
        </w:tc>
        <w:tc>
          <w:tcPr>
            <w:tcW w:type="dxa" w:w="2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50" w:before="50" w:line="300" w:lineRule="exac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color w:val="000000"/>
                <w:sz w:val="20"/>
                <w:szCs w:val="20"/>
              </w:rPr>
              <w:t xml:space="preserve">“旭日认证”证书框</w:t>
            </w:r>
          </w:p>
        </w:tc>
      </w:tr>
    </w:tbl>
    <w:p>
      <w:pPr>
        <w:spacing w:after="200" w:before="400" w:line="520" w:lineRule="exact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十、下一步建议</w:t>
      </w:r>
    </w:p>
    <w:p>
      <w:pPr>
        <w:spacing w:after="0" w:before="0" w:line="520" w:lineRule="exact"/>
        <w:ind w:firstLine="560"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品牌概念确认后，建议按以下优先级推进：</w:t>
      </w:r>
    </w:p>
    <w:p>
      <w:pPr>
        <w:spacing w:after="0" w:before="0" w:line="520" w:lineRule="exact"/>
        <w:ind w:firstLine="560"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1. 向当升科技管理层汇报「旭日领导力发展项目」品牌概念，收集反馈并确认方向。</w:t>
      </w:r>
    </w:p>
    <w:p>
      <w:pPr>
        <w:spacing w:after="0" w:before="0" w:line="520" w:lineRule="exact"/>
        <w:ind w:firstLine="560"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2. 对接当升现有新晋经理培训方案，完成三年三阶段详细能力地图与课程模块设计。</w:t>
      </w:r>
    </w:p>
    <w:p>
      <w:pPr>
        <w:spacing w:after="0" w:before="0" w:line="520" w:lineRule="exact"/>
        <w:ind w:firstLine="560"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3. 设计「点将仪式」详细SOP——这是品牌第一次与学员（57人）和客户管理层见面，开场即定调。</w:t>
      </w:r>
    </w:p>
    <w:p>
      <w:pPr>
        <w:spacing w:after="0" w:before="0" w:line="520" w:lineRule="exact"/>
        <w:ind w:firstLine="560"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4. 开发品牌视觉识别系统（Logo、主色调方案、仪式物料设计稿）。</w:t>
      </w:r>
    </w:p>
    <w:p>
      <w:pPr>
        <w:spacing w:after="0" w:before="0" w:line="520" w:lineRule="exact"/>
        <w:ind w:firstLine="560"/>
        <w:jc w:val="both"/>
      </w:pPr>
      <w:r>
        <w:rPr>
          <w:rFonts w:ascii="FangSong" w:cs="FangSong" w:eastAsia="FangSong" w:hAnsi="FangSong"/>
          <w:b w:val="false"/>
          <w:bCs w:val="false"/>
          <w:sz w:val="28"/>
          <w:szCs w:val="28"/>
        </w:rPr>
        <w:t xml:space="preserve">5. 编写摩根内部团队销售话术——如何在30秒内讲清「旭日点将→出征→凯旋」。</w:t>
      </w:r>
    </w:p>
    <w:p>
      <w:pPr>
        <w:spacing w:line="520" w:lineRule="exact"/>
      </w:pPr>
      <w:r>
        <w:rPr>
          <w:rFonts w:ascii="FangSong" w:cs="FangSong" w:eastAsia="FangSong" w:hAnsi="FangSong"/>
          <w:sz w:val="28"/>
          <w:szCs w:val="28"/>
        </w:rPr>
        <w:t xml:space="preserve"/>
      </w:r>
    </w:p>
    <w:p>
      <w:pPr>
        <w:spacing w:line="520" w:lineRule="exact"/>
      </w:pPr>
      <w:r>
        <w:rPr>
          <w:rFonts w:ascii="FangSong" w:cs="FangSong" w:eastAsia="FangSong" w:hAnsi="FangSong"/>
          <w:sz w:val="28"/>
          <w:szCs w:val="28"/>
        </w:rPr>
        <w:t xml:space="preserve"/>
      </w:r>
    </w:p>
    <w:p>
      <w:pPr>
        <w:spacing w:before="200" w:line="520" w:lineRule="exact"/>
        <w:jc w:val="center"/>
      </w:pPr>
      <w:r>
        <w:rPr>
          <w:rFonts w:ascii="FangSong" w:cs="FangSong" w:eastAsia="FangSong" w:hAnsi="FangSong"/>
          <w:color w:val="999999"/>
          <w:sz w:val="20"/>
          <w:szCs w:val="20"/>
        </w:rPr>
        <w:t xml:space="preserve">摩根世纪  ·  2026年5月  ·  内部资料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FangSong" w:cs="FangSong" w:eastAsia="FangSong" w:hAnsi="FangSong"/>
        <w:color w:val="999999"/>
        <w:sz w:val="16"/>
        <w:szCs w:val="16"/>
      </w:rPr>
      <w:t xml:space="preserve">摩根世纪  |  内部资料  |  </w:t>
    </w:r>
    <w:r>
      <w:rPr>
        <w:rFonts w:ascii="FangSong" w:cs="FangSong" w:eastAsia="FangSong" w:hAnsi="FangSong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FangSong" w:cs="FangSong" w:eastAsia="FangSong" w:hAnsi="FangSong"/>
        <w:color w:val="999999"/>
        <w:sz w:val="18"/>
        <w:szCs w:val="18"/>
      </w:rPr>
      <w:t xml:space="preserve">旭日领导力发展项目 · 品牌方案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" w:cs="FangSong" w:eastAsia="FangSong" w:hAnsi="FangSong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2026-05-28T13:33:27.497Z</dcterms:created>
  <dcterms:modified xsi:type="dcterms:W3CDTF">2026-05-28T13:33:27.498Z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