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A7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520" w:lineRule="exact"/>
        <w:jc w:val="center"/>
        <w:textAlignment w:val="auto"/>
      </w:pPr>
      <w:r>
        <w:rPr>
          <w:rFonts w:ascii="黑体" w:hAnsi="黑体" w:eastAsia="黑体" w:cs="黑体"/>
          <w:b/>
          <w:bCs/>
          <w:sz w:val="36"/>
          <w:szCs w:val="36"/>
        </w:rPr>
        <w:t>广东申菱环境系统股份有限公司</w:t>
      </w:r>
    </w:p>
    <w:p w14:paraId="32034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400" w:line="520" w:lineRule="exact"/>
        <w:jc w:val="center"/>
        <w:textAlignment w:val="auto"/>
      </w:pPr>
      <w:r>
        <w:rPr>
          <w:rFonts w:ascii="黑体" w:hAnsi="黑体" w:eastAsia="黑体" w:cs="黑体"/>
          <w:b/>
          <w:bCs/>
          <w:sz w:val="44"/>
          <w:szCs w:val="44"/>
        </w:rPr>
        <w:t>国际化人才外语能力提升方案</w:t>
      </w:r>
    </w:p>
    <w:p w14:paraId="3ED924F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520" w:lineRule="exact"/>
        <w:ind w:firstLine="560" w:firstLineChars="20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一、项目背景与必要性分析</w:t>
      </w:r>
    </w:p>
    <w:p w14:paraId="1DE319D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（一）企业出海战略对人才能力提出迫切要求</w:t>
      </w:r>
    </w:p>
    <w:p w14:paraId="195734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广东申菱环境系统股份有限公司（以下简称"申菱环境"）以数据服务温控为核心增长引擎，正加速出海布局。近年来已在新加坡、马来西亚实现液冷、相变冷却等产品的规模交付，2025年新增美国订单约1.2亿元、东南亚订单约1.3亿元，欧洲业务持续推进中。2025年境外营收达1.44亿元，同比增长超650%。</w:t>
      </w:r>
    </w:p>
    <w:p w14:paraId="34DD0B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海外业务的快速增长，对具备涉外沟通能力的专业人才提出了更高要求。无论是海外项目的技术交付、客户的商务谈判，还是国际展会中的产品推介，都需要大量能够用英语进行专业沟通的复合型人才。</w:t>
      </w:r>
    </w:p>
    <w:p w14:paraId="0C12581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（二）当前人才能力现状与缺口</w:t>
      </w:r>
    </w:p>
    <w:p w14:paraId="327792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根据初步调研，申菱环境当前约4000名员工中，仅约1%的人员英语能力可完全胜任涉外工作。公司面临的挑战具体包括：</w:t>
      </w:r>
    </w:p>
    <w:p w14:paraId="76DE3D71">
      <w:pPr>
        <w:pStyle w:val="1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1、</w:t>
      </w:r>
      <w:r>
        <w:rPr>
          <w:rFonts w:hint="eastAsia" w:ascii="仿宋" w:hAnsi="仿宋" w:eastAsia="仿宋" w:cs="仿宋"/>
          <w:sz w:val="28"/>
          <w:szCs w:val="28"/>
        </w:rPr>
        <w:t>人员基数大，水平参差不齐：培训对象覆盖范围广，从即将外派的核心技术骨干到需要长期储备的后备人才，英语基础差异显著，需要分层分级设计培训方案。</w:t>
      </w:r>
    </w:p>
    <w:p w14:paraId="6777D2F9">
      <w:pPr>
        <w:pStyle w:val="1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2、</w:t>
      </w:r>
      <w:r>
        <w:rPr>
          <w:rFonts w:hint="eastAsia" w:ascii="仿宋" w:hAnsi="仿宋" w:eastAsia="仿宋" w:cs="仿宋"/>
          <w:sz w:val="28"/>
          <w:szCs w:val="28"/>
        </w:rPr>
        <w:t>专业场景复杂：申菱环境的业务涉及液冷系统（CDU、Manifold、冷板）、相变冷却、核电温控、VOCs回收等多个技术领域，海外工作场景涵盖技术方案讲解、项目交付协调、客户需求沟通、国际展会推介等，对专业英语能力要求高。</w:t>
      </w:r>
    </w:p>
    <w:p w14:paraId="61732A13">
      <w:pPr>
        <w:pStyle w:val="1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3、</w:t>
      </w:r>
      <w:r>
        <w:rPr>
          <w:rFonts w:hint="eastAsia" w:ascii="仿宋" w:hAnsi="仿宋" w:eastAsia="仿宋" w:cs="仿宋"/>
          <w:sz w:val="28"/>
          <w:szCs w:val="28"/>
        </w:rPr>
        <w:t>专业材料萃取难度大：将申菱环境各业务线的技术文档、产品手册、项目案例等专业材料转化为可教学的英语学习内容，需要兼具行业理解和语言教学能力的专业团队。</w:t>
      </w:r>
    </w:p>
    <w:p w14:paraId="1653AF65">
      <w:pPr>
        <w:pStyle w:val="1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4、</w:t>
      </w:r>
      <w:r>
        <w:rPr>
          <w:rFonts w:hint="eastAsia" w:ascii="仿宋" w:hAnsi="仿宋" w:eastAsia="仿宋" w:cs="仿宋"/>
          <w:sz w:val="28"/>
          <w:szCs w:val="28"/>
        </w:rPr>
        <w:t>培训管理复杂度高：4000人规模的培训涉及大量的人员盘点、分班分组、进度跟踪、效果评估等协调工作，培训管理负荷重。</w:t>
      </w:r>
    </w:p>
    <w:p w14:paraId="232C337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560" w:firstLineChars="20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二、引进外部专业机构的必要性</w:t>
      </w:r>
    </w:p>
    <w:p w14:paraId="44399E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申菱环境培训职能当前处于建设初期，而4000人规模、多业务线、多海外区域的英语能力建设是一项系统性工程，在起步阶段引入外部专业力量协同推进，是确保项目高起点启动的务实选择。以下从六个维度分析引进外部机构的必要性：</w:t>
      </w:r>
    </w:p>
    <w:p w14:paraId="0507473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562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（一）盘点能力</w:t>
      </w:r>
    </w:p>
    <w:p w14:paraId="33118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内部现状</w:t>
      </w:r>
    </w:p>
    <w:p w14:paraId="0D5986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4000人的英语能力盘点需要专业的测评工具、口语评估体系和数据分析能力。内部缺乏经过验证的测评工具和标准化评估流程。</w:t>
      </w:r>
    </w:p>
    <w:p w14:paraId="66283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外部机构可提供</w:t>
      </w:r>
    </w:p>
    <w:p w14:paraId="1CC293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经过大量企业验证的CEFR标准测评体系（在线笔试 + AI口语测评 + 人工复核），可在15天内完成4000人规模的能力基线建立，输出《全员英语能力基线报告》和《涉外岗位沟通胜任度评估报告》。</w:t>
      </w:r>
    </w:p>
    <w:p w14:paraId="2BD29E3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（二）课程开发能力</w:t>
      </w:r>
    </w:p>
    <w:p w14:paraId="64B69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内部现状</w:t>
      </w:r>
    </w:p>
    <w:p w14:paraId="3BAB06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申菱业务涵盖数据服务温控、工业专用空调、特种行业、环保治理四大领域，各领域专业术语和场景差异大。将液冷系统（CDU、Manifold、冷板）、VOCs回收、核电温控等技术文档转化为可教学的英语课程，需要"懂行业英语 + 懂教学设计"的复合能力，内部短期内难以建立此种能力。</w:t>
      </w:r>
    </w:p>
    <w:p w14:paraId="4296ED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外部机构可提供</w:t>
      </w:r>
    </w:p>
    <w:p w14:paraId="01DEB3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成熟的"专业材料→教学材料"萃取方法论，由教学设计师与行业专家协作，将申菱技术文档、产品手册、项目案例转化为分级可用的英语学习内容。已有为多家央企开发行业专业英语课程的案例积累。</w:t>
      </w:r>
    </w:p>
    <w:p w14:paraId="56EF5E9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（三）教学交付能力</w:t>
      </w:r>
    </w:p>
    <w:p w14:paraId="3D38B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内部现状</w:t>
      </w:r>
    </w:p>
    <w:p w14:paraId="3D901D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企业内部培训师在英语教学方面的专业度有限，而海外业务涉及商务谈判、技术方案讲解、跨文化沟通等高阶场景，对教学的专业性和实战性要求很高。</w:t>
      </w:r>
    </w:p>
    <w:p w14:paraId="6E5B3D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外部机构可提供</w:t>
      </w:r>
    </w:p>
    <w:p w14:paraId="5E8797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具备海外一线经验的讲师团队（商务谈判、项目管理、跨文化沟通等方向），以及全球1500余名母语外教资源。教学以"实战演练"为核心，每个模块嵌入真实工作场景的模拟训练。</w:t>
      </w:r>
    </w:p>
    <w:p w14:paraId="4B18403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562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（四）培训管理能力</w:t>
      </w:r>
    </w:p>
    <w:p w14:paraId="47C48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内部现状</w:t>
      </w:r>
    </w:p>
    <w:p w14:paraId="6392FD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4000人规模的分层培训涉及分班分组、进度跟踪、外教匹配、效果评估、数据分析等大量运营工作，需要专人专岗的管理团队支撑。内部培训团队正处于组建阶段，短期内难以覆盖全链条运营需求。</w:t>
      </w:r>
    </w:p>
    <w:p w14:paraId="76BBEF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2、摩根世纪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可提供</w:t>
      </w:r>
    </w:p>
    <w:p w14:paraId="262197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成熟的"三维数据看板"管理系统、专职班主任与学习教练团队、分阶段运营SOP。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摩根世纪</w:t>
      </w:r>
      <w:r>
        <w:rPr>
          <w:rFonts w:hint="eastAsia" w:ascii="仿宋" w:hAnsi="仿宋" w:eastAsia="仿宋" w:cs="仿宋"/>
          <w:sz w:val="28"/>
          <w:szCs w:val="28"/>
        </w:rPr>
        <w:t>承担项目日常运营工作，内部培训团队可聚焦于业务对接、需求统筹与资源协调，在合作过程中逐步建立自主运营能力。</w:t>
      </w:r>
    </w:p>
    <w:p w14:paraId="3B76F8E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（五）成本与效率</w:t>
      </w:r>
    </w:p>
    <w:p w14:paraId="29BA5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内部自建的隐性成本</w:t>
      </w:r>
    </w:p>
    <w:p w14:paraId="0DA962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若选择内部自建，需要经历测评工具采购与验证、课程体系从基础搭建、师资招聘与培训、运营流程逐步建立等过程。按行业经验，内部从基础搭建同等规模的培训体系通常需要12-18个月，且初期交付质量难以保证。</w:t>
      </w:r>
    </w:p>
    <w:p w14:paraId="626A8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2、摩根世纪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的效率优势</w:t>
      </w:r>
    </w:p>
    <w:p w14:paraId="281ACC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摩根世纪</w:t>
      </w:r>
      <w:r>
        <w:rPr>
          <w:rFonts w:hint="eastAsia" w:ascii="仿宋" w:hAnsi="仿宋" w:eastAsia="仿宋" w:cs="仿宋"/>
          <w:sz w:val="28"/>
          <w:szCs w:val="28"/>
        </w:rPr>
        <w:t>已在数十家企业验证过方法论和工具，可直接复用成熟体系，免去从基础探索的时间与试错成本。对于申菱当前海外业务快速扩张的节奏，时间窗口尤为关键。</w:t>
      </w:r>
    </w:p>
    <w:p w14:paraId="336399E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562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（六）行业经验与专业匹配</w:t>
      </w:r>
    </w:p>
    <w:p w14:paraId="569D4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申菱环境的行业特殊性</w:t>
      </w:r>
    </w:p>
    <w:p w14:paraId="1B660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申菱属于ToB专用设备制造业，业务以数据服务温控、工业特种空调为核心，海外客户为数据中心运营商、电力能源企业等机构客户。其英语培训需求与快消、互联网等ToC行业有本质区别——核心场景是技术方案讲解、海外项目交付协调、国际展会产品推介、工程商务谈判，对专业英语的准确性和场景还原度要求极高，通用英语培训难以覆盖这些需求。</w:t>
      </w:r>
    </w:p>
    <w:p w14:paraId="386D4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2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2、摩根世纪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可提供</w:t>
      </w:r>
    </w:p>
    <w:p w14:paraId="380DE2B0">
      <w:pPr>
        <w:pStyle w:val="1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）</w:t>
      </w:r>
      <w:r>
        <w:rPr>
          <w:rFonts w:hint="eastAsia" w:ascii="仿宋" w:hAnsi="仿宋" w:eastAsia="仿宋" w:cs="仿宋"/>
          <w:sz w:val="28"/>
          <w:szCs w:val="28"/>
        </w:rPr>
        <w:t>同类制造业出海培训积累：摩根世纪已服务多家ToB制造型企业的出海英语培训。其中，比泽尔（Bitzer，德国压缩机制造商）与当升科技（锂电正极材料制造商）在业务属性上与申菱高度接近——同为专用设备/材料制造商，海外业务场景高度相似，涵盖技术方案沟通、工程交付协调、国际招投标、海外客户关系维护。此外，在核电（中核、中原对外工程）、工程建设（中信建设、中交）、能源（中海油、中石油）等领域亦有深厚积累。</w:t>
      </w:r>
    </w:p>
    <w:p w14:paraId="395B9380">
      <w:pPr>
        <w:pStyle w:val="1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（2）</w:t>
      </w:r>
      <w:r>
        <w:rPr>
          <w:rFonts w:hint="eastAsia" w:ascii="仿宋" w:hAnsi="仿宋" w:eastAsia="仿宋" w:cs="仿宋"/>
          <w:sz w:val="28"/>
          <w:szCs w:val="28"/>
        </w:rPr>
        <w:t>专业术语萃取成熟方法论：已建立"技术文档→教学材料"的标准萃取流程，由教学设计团队深入企业业务线，与一线工程师和技术专家协作，提取高价值术语和典型工作场景对话。该方法论在核电、石油工程的行业英语开发中已验证可行。</w:t>
      </w:r>
    </w:p>
    <w:p w14:paraId="6DF6B3AB">
      <w:pPr>
        <w:pStyle w:val="1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（3）</w:t>
      </w:r>
      <w:r>
        <w:rPr>
          <w:rFonts w:hint="eastAsia" w:ascii="仿宋" w:hAnsi="仿宋" w:eastAsia="仿宋" w:cs="仿宋"/>
          <w:sz w:val="28"/>
          <w:szCs w:val="28"/>
        </w:rPr>
        <w:t>行业场景还原能力：讲师团队包含具有海外工程项目一线经验的实战专家，能理解液冷系统交付、海外数据中心建设、工业空调安装调试等申菱真实业务场景，确保教学内容不流于表面。</w:t>
      </w:r>
    </w:p>
    <w:p w14:paraId="0692A8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40" w:line="520" w:lineRule="exact"/>
        <w:ind w:firstLine="562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小结：</w:t>
      </w:r>
    </w:p>
    <w:p w14:paraId="1CC184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520" w:lineRule="exact"/>
        <w:ind w:firstLine="560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引进外部机构并非替代内部培训职能，而是以"外部方法论 + 工具 + 运营能力"为内部赋能的合作模式。内部培训团队在此过程中既是项目协调者，也是专业能力的建设者——通过参与外部机构的专业运作，逐步积累培训管理经验与方法论，为未来更大规模的自主运营奠定基础。</w:t>
      </w:r>
    </w:p>
    <w:p w14:paraId="040F0B5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562" w:firstLineChars="200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三、项目核心思路</w:t>
      </w:r>
    </w:p>
    <w:p w14:paraId="46EF7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以"诊断→映射→装配"为总体框架，从申菱环境海外业务的实际人才需求出发，而非从已有课程出发，精准匹配培训内容。</w:t>
      </w:r>
    </w:p>
    <w:p w14:paraId="3FC3455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562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设计原则</w:t>
      </w:r>
    </w:p>
    <w:p w14:paraId="66863D88">
      <w:pPr>
        <w:pStyle w:val="1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1、</w:t>
      </w:r>
      <w:r>
        <w:rPr>
          <w:rFonts w:hint="eastAsia" w:ascii="仿宋" w:hAnsi="仿宋" w:eastAsia="仿宋" w:cs="仿宋"/>
          <w:sz w:val="28"/>
          <w:szCs w:val="28"/>
        </w:rPr>
        <w:t>问题导向：全部课程围绕申菱环境的真实涉外工作场景设计，不堆砌通用课程。</w:t>
      </w:r>
    </w:p>
    <w:p w14:paraId="135518C4">
      <w:pPr>
        <w:pStyle w:val="1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2、</w:t>
      </w:r>
      <w:r>
        <w:rPr>
          <w:rFonts w:hint="eastAsia" w:ascii="仿宋" w:hAnsi="仿宋" w:eastAsia="仿宋" w:cs="仿宋"/>
          <w:sz w:val="28"/>
          <w:szCs w:val="28"/>
        </w:rPr>
        <w:t>分层施策：根据人员岗位紧迫度和英语基础，分层设计培训路径，避免"一刀切"。</w:t>
      </w:r>
    </w:p>
    <w:p w14:paraId="0EC9BA70">
      <w:pPr>
        <w:pStyle w:val="1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3、</w:t>
      </w:r>
      <w:r>
        <w:rPr>
          <w:rFonts w:hint="eastAsia" w:ascii="仿宋" w:hAnsi="仿宋" w:eastAsia="仿宋" w:cs="仿宋"/>
          <w:sz w:val="28"/>
          <w:szCs w:val="28"/>
        </w:rPr>
        <w:t>学以致用：每个培训模块均设置实战输出环节，确保学习成果直接转化为工作能力。</w:t>
      </w:r>
    </w:p>
    <w:p w14:paraId="3F726F06">
      <w:pPr>
        <w:pStyle w:val="1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4、</w:t>
      </w:r>
      <w:r>
        <w:rPr>
          <w:rFonts w:hint="eastAsia" w:ascii="仿宋" w:hAnsi="仿宋" w:eastAsia="仿宋" w:cs="仿宋"/>
          <w:sz w:val="28"/>
          <w:szCs w:val="28"/>
        </w:rPr>
        <w:t>长期主义：短期集中培训与长期在线学习结合，建立可持续的人才能力提升机制。</w:t>
      </w:r>
    </w:p>
    <w:p w14:paraId="581D388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560" w:firstLineChars="20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四、项目推进步骤</w:t>
      </w:r>
    </w:p>
    <w:p w14:paraId="57C782C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562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阶段一：全员盘点与能力基线建立（建议15天左右）</w:t>
      </w:r>
    </w:p>
    <w:p w14:paraId="35675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目标</w:t>
      </w:r>
    </w:p>
    <w:p w14:paraId="01EFBE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系统评估申菱环境现有人员英语水平，建立能力基线，为后续分级培训方案设计提供数据支撑。</w:t>
      </w:r>
    </w:p>
    <w:p w14:paraId="4D313B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盘点对象</w:t>
      </w:r>
    </w:p>
    <w:p w14:paraId="664383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全公司约4000人，重点关注涉外岗位人员。</w:t>
      </w:r>
    </w:p>
    <w:p w14:paraId="01A241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40" w:line="520" w:lineRule="exact"/>
        <w:ind w:firstLine="560" w:firstLineChars="200"/>
        <w:textAlignment w:val="auto"/>
        <w:rPr>
          <w:b w:val="0"/>
          <w:bCs w:val="0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3、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盘点形式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168"/>
        <w:gridCol w:w="1683"/>
        <w:gridCol w:w="2931"/>
        <w:gridCol w:w="2444"/>
      </w:tblGrid>
      <w:tr w14:paraId="24CC6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216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773548D4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盘点方式</w:t>
            </w:r>
          </w:p>
        </w:tc>
        <w:tc>
          <w:tcPr>
            <w:tcW w:w="168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40684BCC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适用对象</w:t>
            </w:r>
          </w:p>
        </w:tc>
        <w:tc>
          <w:tcPr>
            <w:tcW w:w="293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3CC7306E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内容</w:t>
            </w:r>
          </w:p>
        </w:tc>
        <w:tc>
          <w:tcPr>
            <w:tcW w:w="244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0A65A652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产出</w:t>
            </w:r>
          </w:p>
        </w:tc>
      </w:tr>
      <w:tr w14:paraId="77467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16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D4C25A5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在线笔试</w:t>
            </w:r>
          </w:p>
        </w:tc>
        <w:tc>
          <w:tcPr>
            <w:tcW w:w="168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2F4448F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全员</w:t>
            </w:r>
          </w:p>
        </w:tc>
        <w:tc>
          <w:tcPr>
            <w:tcW w:w="293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D0D12C9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CEFR标准英语能力测试（听力、阅读、语法、词汇）</w:t>
            </w:r>
          </w:p>
        </w:tc>
        <w:tc>
          <w:tcPr>
            <w:tcW w:w="244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403EF56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个人英语等级报告</w:t>
            </w:r>
          </w:p>
        </w:tc>
      </w:tr>
      <w:tr w14:paraId="10C31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16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2DC4ADA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AI口语测评</w:t>
            </w:r>
          </w:p>
        </w:tc>
        <w:tc>
          <w:tcPr>
            <w:tcW w:w="168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E22B831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全员</w:t>
            </w:r>
          </w:p>
        </w:tc>
        <w:tc>
          <w:tcPr>
            <w:tcW w:w="293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9ABBDF8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发音、流利度、语法准确性、词汇丰富度</w:t>
            </w:r>
          </w:p>
        </w:tc>
        <w:tc>
          <w:tcPr>
            <w:tcW w:w="244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F7D26FC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个人口语能力画像</w:t>
            </w:r>
          </w:p>
        </w:tc>
      </w:tr>
      <w:tr w14:paraId="1EAEB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16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8C81CBF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重点人员面对面测试</w:t>
            </w:r>
          </w:p>
        </w:tc>
        <w:tc>
          <w:tcPr>
            <w:tcW w:w="168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666D9D1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涉外核心岗位人员</w:t>
            </w:r>
          </w:p>
        </w:tc>
        <w:tc>
          <w:tcPr>
            <w:tcW w:w="293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2799AA4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模拟工作场景的听说读写综合测试</w:t>
            </w:r>
          </w:p>
        </w:tc>
        <w:tc>
          <w:tcPr>
            <w:tcW w:w="244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451F354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重点人员能力详细评估</w:t>
            </w:r>
          </w:p>
        </w:tc>
      </w:tr>
      <w:tr w14:paraId="0B565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16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E344401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学员问卷调研</w:t>
            </w:r>
          </w:p>
        </w:tc>
        <w:tc>
          <w:tcPr>
            <w:tcW w:w="168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07F753C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全员</w:t>
            </w:r>
          </w:p>
        </w:tc>
        <w:tc>
          <w:tcPr>
            <w:tcW w:w="293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9B1484F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学习需求、工作场景、学习偏好、时间投入意愿</w:t>
            </w:r>
          </w:p>
        </w:tc>
        <w:tc>
          <w:tcPr>
            <w:tcW w:w="244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6CF8F7C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培训需求分析报告</w:t>
            </w:r>
          </w:p>
        </w:tc>
      </w:tr>
    </w:tbl>
    <w:p w14:paraId="265412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4、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阶段产出</w:t>
      </w:r>
    </w:p>
    <w:p w14:paraId="48727EF1">
      <w:pPr>
        <w:pStyle w:val="1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《申菱环境全员英语能力基线报告》</w:t>
      </w:r>
    </w:p>
    <w:p w14:paraId="01F430C4">
      <w:pPr>
        <w:pStyle w:val="1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《涉外岗位人员沟通胜任度评估报告》</w:t>
      </w:r>
    </w:p>
    <w:p w14:paraId="1639CCB7">
      <w:pPr>
        <w:pStyle w:val="1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《培训整体规划方案》（含分级培训路径设计）</w:t>
      </w:r>
    </w:p>
    <w:p w14:paraId="1035400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562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阶段二：重点人员集中培训（盘点完成后启动）</w:t>
      </w:r>
    </w:p>
    <w:p w14:paraId="5F9AD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适用对象：盘点中识别出的即将外派但英语能力不足的核心人员，以及关键涉外岗位人员。</w:t>
      </w:r>
    </w:p>
    <w:p w14:paraId="5B3C9F8B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562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路径A：外派前强化培训</w:t>
      </w:r>
    </w:p>
    <w:p w14:paraId="560EA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对象：近期有外派计划、英语能力需快速提升的人员。</w:t>
      </w:r>
    </w:p>
    <w:p w14:paraId="5FBD9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2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2、</w:t>
      </w:r>
      <w:r>
        <w:rPr>
          <w:rFonts w:hint="eastAsia" w:ascii="仿宋" w:hAnsi="仿宋" w:eastAsia="仿宋" w:cs="仿宋"/>
          <w:b/>
          <w:bCs/>
          <w:sz w:val="28"/>
          <w:szCs w:val="28"/>
        </w:rPr>
        <w:t>方案</w:t>
      </w:r>
    </w:p>
    <w:p w14:paraId="307B7BB3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363" w:leftChars="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）</w:t>
      </w:r>
      <w:r>
        <w:rPr>
          <w:rFonts w:hint="eastAsia" w:ascii="仿宋" w:hAnsi="仿宋" w:eastAsia="仿宋" w:cs="仿宋"/>
          <w:sz w:val="28"/>
          <w:szCs w:val="28"/>
        </w:rPr>
        <w:t>脱产面授：1-3个月全日制培训，讲师进企业授课</w:t>
      </w:r>
    </w:p>
    <w:p w14:paraId="676C28EF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363" w:leftChars="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）</w:t>
      </w:r>
      <w:r>
        <w:rPr>
          <w:rFonts w:hint="eastAsia" w:ascii="仿宋" w:hAnsi="仿宋" w:eastAsia="仿宋" w:cs="仿宋"/>
          <w:sz w:val="28"/>
          <w:szCs w:val="28"/>
        </w:rPr>
        <w:t>内容：以申菱实际工作场景定制的面授课程，重点突破涉外沟通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）</w:t>
      </w:r>
      <w:r>
        <w:rPr>
          <w:rFonts w:hint="eastAsia" w:ascii="仿宋" w:hAnsi="仿宋" w:eastAsia="仿宋" w:cs="仿宋"/>
          <w:sz w:val="28"/>
          <w:szCs w:val="28"/>
        </w:rPr>
        <w:t>核心技能</w:t>
      </w:r>
    </w:p>
    <w:p w14:paraId="793E4B7F">
      <w:pPr>
        <w:pStyle w:val="1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在线学习：脱产培训期间及结束后，配套12个月在线学习（课件学习 + 1对1外教约课）</w:t>
      </w:r>
    </w:p>
    <w:p w14:paraId="7E20C4BA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562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路径B：重点储备人员持续培养</w:t>
      </w:r>
    </w:p>
    <w:p w14:paraId="202FDF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对象：未来有外派可能但目前不紧迫的储备人员。</w:t>
      </w:r>
    </w:p>
    <w:p w14:paraId="34949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方案</w:t>
      </w:r>
    </w:p>
    <w:p w14:paraId="676189DB">
      <w:pPr>
        <w:pStyle w:val="1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）</w:t>
      </w:r>
      <w:r>
        <w:rPr>
          <w:rFonts w:hint="eastAsia" w:ascii="仿宋" w:hAnsi="仿宋" w:eastAsia="仿宋" w:cs="仿宋"/>
          <w:sz w:val="28"/>
          <w:szCs w:val="28"/>
        </w:rPr>
        <w:t>专题面授：每月1周脱产培训（讲师走进企业），重点突破涉外沟通中的专题技能</w:t>
      </w:r>
    </w:p>
    <w:p w14:paraId="4068B6AD">
      <w:pPr>
        <w:pStyle w:val="1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）</w:t>
      </w:r>
      <w:r>
        <w:rPr>
          <w:rFonts w:hint="eastAsia" w:ascii="仿宋" w:hAnsi="仿宋" w:eastAsia="仿宋" w:cs="仿宋"/>
          <w:sz w:val="28"/>
          <w:szCs w:val="28"/>
        </w:rPr>
        <w:t>在线学习：12个月在线学习（课件学习 + 1对1外教约课），与脱产专题同步进行</w:t>
      </w:r>
    </w:p>
    <w:p w14:paraId="649415F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562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阶段三：骨干及全员长期能力培养（持续进行）</w:t>
      </w:r>
    </w:p>
    <w:p w14:paraId="1535C5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1、</w:t>
      </w:r>
      <w:r>
        <w:rPr>
          <w:rFonts w:hint="eastAsia" w:ascii="仿宋" w:hAnsi="仿宋" w:eastAsia="仿宋" w:cs="仿宋"/>
          <w:sz w:val="28"/>
          <w:szCs w:val="28"/>
        </w:rPr>
        <w:t>适用对象：各业务线骨干及全公司有英语学习需求的人员。</w:t>
      </w:r>
    </w:p>
    <w:p w14:paraId="0C115D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骨干人员方案</w:t>
      </w:r>
    </w:p>
    <w:p w14:paraId="2AF41047">
      <w:pPr>
        <w:pStyle w:val="1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）</w:t>
      </w:r>
      <w:r>
        <w:rPr>
          <w:rFonts w:hint="eastAsia" w:ascii="仿宋" w:hAnsi="仿宋" w:eastAsia="仿宋" w:cs="仿宋"/>
          <w:sz w:val="28"/>
          <w:szCs w:val="28"/>
        </w:rPr>
        <w:t>专题面授：每月1次3天脱产专题培训，围绕涉外商务社交、谈判、演讲、跨文化沟通等专题逐个突破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 w14:paraId="39B8D5B8">
      <w:pPr>
        <w:pStyle w:val="1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）</w:t>
      </w:r>
      <w:r>
        <w:rPr>
          <w:rFonts w:hint="eastAsia" w:ascii="仿宋" w:hAnsi="仿宋" w:eastAsia="仿宋" w:cs="仿宋"/>
          <w:sz w:val="28"/>
          <w:szCs w:val="28"/>
        </w:rPr>
        <w:t>在线学习：12个月在线学习（课件学习 + 1对1外教约课），同步进行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 w14:paraId="7EAD05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全员方案</w:t>
      </w:r>
    </w:p>
    <w:p w14:paraId="293E44FD">
      <w:pPr>
        <w:pStyle w:val="1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）</w:t>
      </w:r>
      <w:r>
        <w:rPr>
          <w:rFonts w:hint="eastAsia" w:ascii="仿宋" w:hAnsi="仿宋" w:eastAsia="仿宋" w:cs="仿宋"/>
          <w:sz w:val="28"/>
          <w:szCs w:val="28"/>
        </w:rPr>
        <w:t>在线学习：账号制学习，学员自主安排学习进度</w:t>
      </w:r>
    </w:p>
    <w:p w14:paraId="7B016ADC">
      <w:pPr>
        <w:pStyle w:val="1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）</w:t>
      </w:r>
      <w:r>
        <w:rPr>
          <w:rFonts w:hint="eastAsia" w:ascii="仿宋" w:hAnsi="仿宋" w:eastAsia="仿宋" w:cs="仿宋"/>
          <w:sz w:val="28"/>
          <w:szCs w:val="28"/>
        </w:rPr>
        <w:t>外教约课：部分学习积极性高、进步显著的学员配置1对1外教约课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 w14:paraId="2D9022FD">
      <w:pPr>
        <w:pStyle w:val="1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）</w:t>
      </w:r>
      <w:r>
        <w:rPr>
          <w:rFonts w:hint="eastAsia" w:ascii="仿宋" w:hAnsi="仿宋" w:eastAsia="仿宋" w:cs="仿宋"/>
          <w:sz w:val="28"/>
          <w:szCs w:val="28"/>
        </w:rPr>
        <w:t>氛围营造：定期组织英语沙龙、主题分享会、行业英语竞赛等活动，在全公司范围内建立英语学习氛围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 w14:paraId="6D88818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560" w:firstLineChars="20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五、课程体系设计</w:t>
      </w:r>
    </w:p>
    <w:p w14:paraId="4DBB13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课程体系采用"强基础 + 强实战 + 强技能"三大板块，以CEFR（欧洲语言共同参考框架）为分级标准，覆盖从A1到C2的16个能力级别。</w:t>
      </w:r>
    </w:p>
    <w:p w14:paraId="2B8A397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（一）在线课程体系（强基础）</w:t>
      </w:r>
    </w:p>
    <w:p w14:paraId="04D93945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1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课件自主学习</w:t>
      </w:r>
    </w:p>
    <w:p w14:paraId="30A68A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课程以录播、文本、音频、交互课件等形式呈现，学员可根据自身级别和学习需求自主选择。</w:t>
      </w:r>
    </w:p>
    <w:p w14:paraId="3387A522">
      <w:pPr>
        <w:spacing w:before="100" w:after="40"/>
        <w:ind w:firstLine="560" w:firstLineChars="200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涉外日常交流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274"/>
        <w:gridCol w:w="3876"/>
        <w:gridCol w:w="3076"/>
      </w:tblGrid>
      <w:tr w14:paraId="2A374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227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49835499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课程板块</w:t>
            </w:r>
          </w:p>
        </w:tc>
        <w:tc>
          <w:tcPr>
            <w:tcW w:w="38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1FC5114F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主要课程</w:t>
            </w:r>
          </w:p>
        </w:tc>
        <w:tc>
          <w:tcPr>
            <w:tcW w:w="30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62B9EB40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对应级别</w:t>
            </w:r>
          </w:p>
        </w:tc>
      </w:tr>
      <w:tr w14:paraId="11948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274" w:type="dxa"/>
            <w:vMerge w:val="restart"/>
            <w:tcBorders>
              <w:top w:val="single" w:color="999999" w:sz="0" w:space="0"/>
              <w:left w:val="single" w:color="999999" w:sz="0" w:space="0"/>
              <w:right w:val="single" w:color="999999" w:sz="0" w:space="0"/>
            </w:tcBorders>
            <w:vAlign w:val="center"/>
          </w:tcPr>
          <w:p w14:paraId="1317B78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涉外日常交流</w:t>
            </w:r>
          </w:p>
        </w:tc>
        <w:tc>
          <w:tcPr>
            <w:tcW w:w="38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AA91DD5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Daily Talk</w:t>
            </w:r>
          </w:p>
        </w:tc>
        <w:tc>
          <w:tcPr>
            <w:tcW w:w="30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4B5589C">
            <w:pPr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A1-C1</w:t>
            </w:r>
          </w:p>
        </w:tc>
      </w:tr>
      <w:tr w14:paraId="4D00F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274" w:type="dxa"/>
            <w:vMerge w:val="continue"/>
            <w:tcBorders>
              <w:left w:val="single" w:color="999999" w:sz="0" w:space="0"/>
              <w:right w:val="single" w:color="999999" w:sz="0" w:space="0"/>
            </w:tcBorders>
            <w:vAlign w:val="center"/>
          </w:tcPr>
          <w:p w14:paraId="4B9944C1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38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0DDD795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90天搞定英语听力</w:t>
            </w:r>
          </w:p>
        </w:tc>
        <w:tc>
          <w:tcPr>
            <w:tcW w:w="30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C604B6A">
            <w:pPr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A1-C2</w:t>
            </w:r>
          </w:p>
        </w:tc>
      </w:tr>
      <w:tr w14:paraId="2ACD9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274" w:type="dxa"/>
            <w:vMerge w:val="continue"/>
            <w:tcBorders>
              <w:left w:val="single" w:color="999999" w:sz="0" w:space="0"/>
              <w:right w:val="single" w:color="999999" w:sz="0" w:space="0"/>
            </w:tcBorders>
            <w:vAlign w:val="center"/>
          </w:tcPr>
          <w:p w14:paraId="76EBAD2B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38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50B9F1F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海外生存英语</w:t>
            </w:r>
          </w:p>
        </w:tc>
        <w:tc>
          <w:tcPr>
            <w:tcW w:w="30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1241A47">
            <w:pPr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A1-B1</w:t>
            </w:r>
          </w:p>
        </w:tc>
      </w:tr>
      <w:tr w14:paraId="092F4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274" w:type="dxa"/>
            <w:vMerge w:val="continue"/>
            <w:tcBorders>
              <w:left w:val="single" w:color="999999" w:sz="0" w:space="0"/>
              <w:right w:val="single" w:color="999999" w:sz="0" w:space="0"/>
            </w:tcBorders>
            <w:vAlign w:val="center"/>
          </w:tcPr>
          <w:p w14:paraId="3A1479B3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38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F6D776A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日常听说强化</w:t>
            </w:r>
          </w:p>
        </w:tc>
        <w:tc>
          <w:tcPr>
            <w:tcW w:w="30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7A992D5">
            <w:pPr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A2-B1</w:t>
            </w:r>
          </w:p>
        </w:tc>
      </w:tr>
      <w:tr w14:paraId="0A46B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274" w:type="dxa"/>
            <w:vMerge w:val="continue"/>
            <w:tcBorders>
              <w:left w:val="single" w:color="999999" w:sz="0" w:space="0"/>
              <w:right w:val="single" w:color="999999" w:sz="0" w:space="0"/>
            </w:tcBorders>
            <w:vAlign w:val="center"/>
          </w:tcPr>
          <w:p w14:paraId="7646FF4E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38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8103571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日常英语进阶</w:t>
            </w:r>
          </w:p>
        </w:tc>
        <w:tc>
          <w:tcPr>
            <w:tcW w:w="30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1B9C2DF">
            <w:pPr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A2+-B2</w:t>
            </w:r>
          </w:p>
        </w:tc>
      </w:tr>
      <w:tr w14:paraId="3D7ED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274" w:type="dxa"/>
            <w:vMerge w:val="continue"/>
            <w:tcBorders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85AFF52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38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A85C5E2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英语发音学习</w:t>
            </w:r>
          </w:p>
        </w:tc>
        <w:tc>
          <w:tcPr>
            <w:tcW w:w="30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12F633A">
            <w:pPr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A2-B1</w:t>
            </w:r>
          </w:p>
        </w:tc>
      </w:tr>
    </w:tbl>
    <w:p w14:paraId="71B1CE76">
      <w:pPr>
        <w:spacing w:after="40"/>
      </w:pPr>
    </w:p>
    <w:p w14:paraId="5A0DD23D">
      <w:pPr>
        <w:spacing w:before="100" w:after="40"/>
        <w:ind w:firstLine="560" w:firstLineChars="200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涉外商务沟通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299"/>
        <w:gridCol w:w="3849"/>
        <w:gridCol w:w="3078"/>
      </w:tblGrid>
      <w:tr w14:paraId="6DAB5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229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473FEDBD">
            <w:pPr>
              <w:jc w:val="center"/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课程板块</w:t>
            </w:r>
          </w:p>
        </w:tc>
        <w:tc>
          <w:tcPr>
            <w:tcW w:w="384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2FEA838E">
            <w:pPr>
              <w:jc w:val="center"/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主要课程</w:t>
            </w:r>
          </w:p>
        </w:tc>
        <w:tc>
          <w:tcPr>
            <w:tcW w:w="30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4DE0ED96">
            <w:pPr>
              <w:jc w:val="center"/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对应级别</w:t>
            </w:r>
          </w:p>
        </w:tc>
      </w:tr>
      <w:tr w14:paraId="44EE4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299" w:type="dxa"/>
            <w:vMerge w:val="restart"/>
            <w:tcBorders>
              <w:top w:val="single" w:color="999999" w:sz="0" w:space="0"/>
              <w:left w:val="single" w:color="999999" w:sz="0" w:space="0"/>
              <w:right w:val="single" w:color="999999" w:sz="0" w:space="0"/>
            </w:tcBorders>
            <w:vAlign w:val="center"/>
          </w:tcPr>
          <w:p w14:paraId="07B3520A">
            <w:pPr>
              <w:jc w:val="center"/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涉外商务沟通</w:t>
            </w:r>
          </w:p>
        </w:tc>
        <w:tc>
          <w:tcPr>
            <w:tcW w:w="384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CCBEA90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商务经典场景</w:t>
            </w:r>
          </w:p>
        </w:tc>
        <w:tc>
          <w:tcPr>
            <w:tcW w:w="30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52FF283">
            <w:pPr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A2+-C1</w:t>
            </w:r>
          </w:p>
        </w:tc>
      </w:tr>
      <w:tr w14:paraId="179B8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299" w:type="dxa"/>
            <w:vMerge w:val="continue"/>
            <w:tcBorders>
              <w:left w:val="single" w:color="999999" w:sz="0" w:space="0"/>
              <w:right w:val="single" w:color="999999" w:sz="0" w:space="0"/>
            </w:tcBorders>
            <w:vAlign w:val="center"/>
          </w:tcPr>
          <w:p w14:paraId="0141DD97"/>
        </w:tc>
        <w:tc>
          <w:tcPr>
            <w:tcW w:w="384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0E83C08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涉外商务英语</w:t>
            </w:r>
          </w:p>
        </w:tc>
        <w:tc>
          <w:tcPr>
            <w:tcW w:w="30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627818B">
            <w:pPr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A2+-B2</w:t>
            </w:r>
          </w:p>
        </w:tc>
      </w:tr>
      <w:tr w14:paraId="33B40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299" w:type="dxa"/>
            <w:vMerge w:val="continue"/>
            <w:tcBorders>
              <w:left w:val="single" w:color="999999" w:sz="0" w:space="0"/>
              <w:right w:val="single" w:color="999999" w:sz="0" w:space="0"/>
            </w:tcBorders>
            <w:vAlign w:val="center"/>
          </w:tcPr>
          <w:p w14:paraId="46DC9DE9"/>
        </w:tc>
        <w:tc>
          <w:tcPr>
            <w:tcW w:w="384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8ABF8F2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涉外商务写作</w:t>
            </w:r>
          </w:p>
        </w:tc>
        <w:tc>
          <w:tcPr>
            <w:tcW w:w="30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85B89A6">
            <w:pPr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B1-C1</w:t>
            </w:r>
          </w:p>
        </w:tc>
      </w:tr>
      <w:tr w14:paraId="1C304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299" w:type="dxa"/>
            <w:vMerge w:val="continue"/>
            <w:tcBorders>
              <w:left w:val="single" w:color="999999" w:sz="0" w:space="0"/>
              <w:right w:val="single" w:color="999999" w:sz="0" w:space="0"/>
            </w:tcBorders>
            <w:vAlign w:val="center"/>
          </w:tcPr>
          <w:p w14:paraId="69F08619"/>
        </w:tc>
        <w:tc>
          <w:tcPr>
            <w:tcW w:w="384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D43DFFA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涉外商务会议</w:t>
            </w:r>
          </w:p>
        </w:tc>
        <w:tc>
          <w:tcPr>
            <w:tcW w:w="30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252970C">
            <w:pPr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B1-C1</w:t>
            </w:r>
          </w:p>
        </w:tc>
      </w:tr>
      <w:tr w14:paraId="24E43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299" w:type="dxa"/>
            <w:vMerge w:val="continue"/>
            <w:tcBorders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946532F"/>
        </w:tc>
        <w:tc>
          <w:tcPr>
            <w:tcW w:w="384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B31214F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有效沟通</w:t>
            </w:r>
          </w:p>
        </w:tc>
        <w:tc>
          <w:tcPr>
            <w:tcW w:w="30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BFEB347">
            <w:pPr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A2-C1</w:t>
            </w:r>
          </w:p>
        </w:tc>
      </w:tr>
    </w:tbl>
    <w:p w14:paraId="5B445CAA">
      <w:pPr>
        <w:spacing w:after="40"/>
      </w:pPr>
    </w:p>
    <w:p w14:paraId="1ECCEADC">
      <w:pPr>
        <w:spacing w:before="100" w:after="40"/>
        <w:ind w:firstLine="560" w:firstLineChars="200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涉外演讲技能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299"/>
        <w:gridCol w:w="3851"/>
        <w:gridCol w:w="3076"/>
      </w:tblGrid>
      <w:tr w14:paraId="7D986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229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50D25BBB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课程板块</w:t>
            </w:r>
          </w:p>
        </w:tc>
        <w:tc>
          <w:tcPr>
            <w:tcW w:w="385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45CC8FCD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主要课程</w:t>
            </w:r>
          </w:p>
        </w:tc>
        <w:tc>
          <w:tcPr>
            <w:tcW w:w="30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04481C22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对应级别</w:t>
            </w:r>
          </w:p>
        </w:tc>
      </w:tr>
      <w:tr w14:paraId="3DDA9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299" w:type="dxa"/>
            <w:vMerge w:val="restart"/>
            <w:tcBorders>
              <w:top w:val="single" w:color="999999" w:sz="0" w:space="0"/>
              <w:left w:val="single" w:color="999999" w:sz="0" w:space="0"/>
              <w:right w:val="single" w:color="999999" w:sz="0" w:space="0"/>
            </w:tcBorders>
            <w:vAlign w:val="center"/>
          </w:tcPr>
          <w:p w14:paraId="7EF3DA6B">
            <w:pPr>
              <w:jc w:val="center"/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涉外演讲技能</w:t>
            </w:r>
          </w:p>
        </w:tc>
        <w:tc>
          <w:tcPr>
            <w:tcW w:w="385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6CEB552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涉外商务演讲基础</w:t>
            </w:r>
          </w:p>
        </w:tc>
        <w:tc>
          <w:tcPr>
            <w:tcW w:w="30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FFE2F24">
            <w:pPr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B1-C2</w:t>
            </w:r>
          </w:p>
        </w:tc>
      </w:tr>
      <w:tr w14:paraId="4953D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299" w:type="dxa"/>
            <w:vMerge w:val="continue"/>
            <w:tcBorders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F76982C"/>
        </w:tc>
        <w:tc>
          <w:tcPr>
            <w:tcW w:w="385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E57C081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涉外商务演讲进阶</w:t>
            </w:r>
          </w:p>
        </w:tc>
        <w:tc>
          <w:tcPr>
            <w:tcW w:w="30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6433039">
            <w:pPr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B2-C2</w:t>
            </w:r>
          </w:p>
        </w:tc>
      </w:tr>
    </w:tbl>
    <w:p w14:paraId="7782F042">
      <w:pPr>
        <w:spacing w:after="40"/>
      </w:pPr>
    </w:p>
    <w:p w14:paraId="749282CB">
      <w:pPr>
        <w:spacing w:before="100" w:after="40"/>
        <w:ind w:firstLine="560" w:firstLineChars="200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涉外谈判技能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286"/>
        <w:gridCol w:w="3862"/>
        <w:gridCol w:w="3078"/>
      </w:tblGrid>
      <w:tr w14:paraId="01A2E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228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0718F4B2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课程板块</w:t>
            </w:r>
          </w:p>
        </w:tc>
        <w:tc>
          <w:tcPr>
            <w:tcW w:w="386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07E00634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主要课程</w:t>
            </w:r>
          </w:p>
        </w:tc>
        <w:tc>
          <w:tcPr>
            <w:tcW w:w="30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5238786B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对应级别</w:t>
            </w:r>
          </w:p>
        </w:tc>
      </w:tr>
      <w:tr w14:paraId="6DBA5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286" w:type="dxa"/>
            <w:vMerge w:val="restart"/>
            <w:tcBorders>
              <w:top w:val="single" w:color="999999" w:sz="0" w:space="0"/>
              <w:left w:val="single" w:color="999999" w:sz="0" w:space="0"/>
              <w:right w:val="single" w:color="999999" w:sz="0" w:space="0"/>
            </w:tcBorders>
            <w:vAlign w:val="center"/>
          </w:tcPr>
          <w:p w14:paraId="4307764E">
            <w:pPr>
              <w:jc w:val="center"/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涉外谈判技能</w:t>
            </w:r>
          </w:p>
        </w:tc>
        <w:tc>
          <w:tcPr>
            <w:tcW w:w="386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223526B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涉外谈判技能</w:t>
            </w:r>
          </w:p>
        </w:tc>
        <w:tc>
          <w:tcPr>
            <w:tcW w:w="30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314BA0C">
            <w:pPr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B1+-C2</w:t>
            </w:r>
          </w:p>
        </w:tc>
      </w:tr>
      <w:tr w14:paraId="32860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286" w:type="dxa"/>
            <w:vMerge w:val="continue"/>
            <w:tcBorders>
              <w:left w:val="single" w:color="999999" w:sz="0" w:space="0"/>
              <w:right w:val="single" w:color="999999" w:sz="0" w:space="0"/>
            </w:tcBorders>
            <w:vAlign w:val="center"/>
          </w:tcPr>
          <w:p w14:paraId="65878C14"/>
        </w:tc>
        <w:tc>
          <w:tcPr>
            <w:tcW w:w="386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2CDAED0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涉外商务谈判基础</w:t>
            </w:r>
          </w:p>
        </w:tc>
        <w:tc>
          <w:tcPr>
            <w:tcW w:w="30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6B0A92C">
            <w:pPr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B1+-B2</w:t>
            </w:r>
          </w:p>
        </w:tc>
      </w:tr>
      <w:tr w14:paraId="792AE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286" w:type="dxa"/>
            <w:vMerge w:val="continue"/>
            <w:tcBorders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8E52C72"/>
        </w:tc>
        <w:tc>
          <w:tcPr>
            <w:tcW w:w="386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9DB5BEF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涉外商务谈判进阶</w:t>
            </w:r>
          </w:p>
        </w:tc>
        <w:tc>
          <w:tcPr>
            <w:tcW w:w="30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D359F77">
            <w:pPr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B2+-C2</w:t>
            </w:r>
          </w:p>
        </w:tc>
      </w:tr>
    </w:tbl>
    <w:p w14:paraId="62A0C64C">
      <w:pPr>
        <w:spacing w:after="40"/>
      </w:pPr>
    </w:p>
    <w:p w14:paraId="225460C0">
      <w:pPr>
        <w:spacing w:before="100" w:after="40"/>
        <w:ind w:firstLine="560" w:firstLineChars="200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跨文化与国际视野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299"/>
        <w:gridCol w:w="3851"/>
        <w:gridCol w:w="3076"/>
      </w:tblGrid>
      <w:tr w14:paraId="2FA74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229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51F549DC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课程板块</w:t>
            </w:r>
          </w:p>
        </w:tc>
        <w:tc>
          <w:tcPr>
            <w:tcW w:w="385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0CB2FA5C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主要课程</w:t>
            </w:r>
          </w:p>
        </w:tc>
        <w:tc>
          <w:tcPr>
            <w:tcW w:w="30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314DA53C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对应级别</w:t>
            </w:r>
          </w:p>
        </w:tc>
      </w:tr>
      <w:tr w14:paraId="5B163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299" w:type="dxa"/>
            <w:vMerge w:val="restart"/>
            <w:tcBorders>
              <w:top w:val="single" w:color="999999" w:sz="0" w:space="0"/>
              <w:left w:val="single" w:color="999999" w:sz="0" w:space="0"/>
              <w:right w:val="single" w:color="999999" w:sz="0" w:space="0"/>
            </w:tcBorders>
            <w:vAlign w:val="center"/>
          </w:tcPr>
          <w:p w14:paraId="507AE959">
            <w:pPr>
              <w:jc w:val="center"/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跨文化差异</w:t>
            </w:r>
          </w:p>
        </w:tc>
        <w:tc>
          <w:tcPr>
            <w:tcW w:w="385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C7D7776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跨文化差异</w:t>
            </w:r>
          </w:p>
        </w:tc>
        <w:tc>
          <w:tcPr>
            <w:tcW w:w="30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358CA1D">
            <w:pPr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A1-C1</w:t>
            </w:r>
          </w:p>
        </w:tc>
      </w:tr>
      <w:tr w14:paraId="1A110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299" w:type="dxa"/>
            <w:vMerge w:val="continue"/>
            <w:tcBorders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FA1D8FF"/>
        </w:tc>
        <w:tc>
          <w:tcPr>
            <w:tcW w:w="385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92144C7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涉外商务礼仪</w:t>
            </w:r>
          </w:p>
        </w:tc>
        <w:tc>
          <w:tcPr>
            <w:tcW w:w="30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3DF087E">
            <w:pPr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A1-B2</w:t>
            </w:r>
          </w:p>
        </w:tc>
      </w:tr>
      <w:tr w14:paraId="2AFA7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29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BBEC83E">
            <w:pPr>
              <w:jc w:val="center"/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国际视野</w:t>
            </w:r>
          </w:p>
        </w:tc>
        <w:tc>
          <w:tcPr>
            <w:tcW w:w="385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22408AC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全球大咖讲座分享</w:t>
            </w:r>
          </w:p>
        </w:tc>
        <w:tc>
          <w:tcPr>
            <w:tcW w:w="307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DE302C7">
            <w:pPr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B1-C2</w:t>
            </w:r>
          </w:p>
        </w:tc>
      </w:tr>
    </w:tbl>
    <w:p w14:paraId="4EA78FCE">
      <w:pPr>
        <w:spacing w:after="40"/>
      </w:pPr>
    </w:p>
    <w:p w14:paraId="73BCA02E">
      <w:pPr>
        <w:spacing w:before="100" w:after="40"/>
        <w:ind w:firstLine="560" w:firstLineChars="200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专项技能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312"/>
        <w:gridCol w:w="3836"/>
        <w:gridCol w:w="3078"/>
      </w:tblGrid>
      <w:tr w14:paraId="1D163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231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4E1EF305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课程板块</w:t>
            </w:r>
          </w:p>
        </w:tc>
        <w:tc>
          <w:tcPr>
            <w:tcW w:w="383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62CDC31F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主要课程</w:t>
            </w:r>
          </w:p>
        </w:tc>
        <w:tc>
          <w:tcPr>
            <w:tcW w:w="30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2A25F97F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对应级别</w:t>
            </w:r>
          </w:p>
        </w:tc>
      </w:tr>
      <w:tr w14:paraId="133AF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312" w:type="dxa"/>
            <w:vMerge w:val="restart"/>
            <w:tcBorders>
              <w:top w:val="single" w:color="999999" w:sz="0" w:space="0"/>
              <w:left w:val="single" w:color="999999" w:sz="0" w:space="0"/>
              <w:right w:val="single" w:color="999999" w:sz="0" w:space="0"/>
            </w:tcBorders>
            <w:vAlign w:val="center"/>
          </w:tcPr>
          <w:p w14:paraId="249BBCB5">
            <w:pPr>
              <w:jc w:val="center"/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专项技能</w:t>
            </w:r>
          </w:p>
        </w:tc>
        <w:tc>
          <w:tcPr>
            <w:tcW w:w="383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FFBC04D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市场人员商务沟通</w:t>
            </w:r>
          </w:p>
        </w:tc>
        <w:tc>
          <w:tcPr>
            <w:tcW w:w="30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5E98D2B">
            <w:pPr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B1+-C2</w:t>
            </w:r>
          </w:p>
        </w:tc>
      </w:tr>
      <w:tr w14:paraId="0A436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312" w:type="dxa"/>
            <w:vMerge w:val="continue"/>
            <w:tcBorders>
              <w:left w:val="single" w:color="999999" w:sz="0" w:space="0"/>
              <w:right w:val="single" w:color="999999" w:sz="0" w:space="0"/>
            </w:tcBorders>
            <w:vAlign w:val="center"/>
          </w:tcPr>
          <w:p w14:paraId="00C16352"/>
        </w:tc>
        <w:tc>
          <w:tcPr>
            <w:tcW w:w="383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8C6DDB4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顾问式销售</w:t>
            </w:r>
          </w:p>
        </w:tc>
        <w:tc>
          <w:tcPr>
            <w:tcW w:w="30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9AC6FBD">
            <w:pPr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B1+-C2</w:t>
            </w:r>
          </w:p>
        </w:tc>
      </w:tr>
      <w:tr w14:paraId="6C5D9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312" w:type="dxa"/>
            <w:vMerge w:val="continue"/>
            <w:tcBorders>
              <w:left w:val="single" w:color="999999" w:sz="0" w:space="0"/>
              <w:right w:val="single" w:color="999999" w:sz="0" w:space="0"/>
            </w:tcBorders>
            <w:vAlign w:val="center"/>
          </w:tcPr>
          <w:p w14:paraId="3822BBFD"/>
        </w:tc>
        <w:tc>
          <w:tcPr>
            <w:tcW w:w="383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DD53732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海外项目营销</w:t>
            </w:r>
          </w:p>
        </w:tc>
        <w:tc>
          <w:tcPr>
            <w:tcW w:w="30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37D5CFD">
            <w:pPr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B1+-C2</w:t>
            </w:r>
          </w:p>
        </w:tc>
      </w:tr>
      <w:tr w14:paraId="1095C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312" w:type="dxa"/>
            <w:vMerge w:val="continue"/>
            <w:tcBorders>
              <w:left w:val="single" w:color="999999" w:sz="0" w:space="0"/>
              <w:right w:val="single" w:color="999999" w:sz="0" w:space="0"/>
            </w:tcBorders>
            <w:vAlign w:val="center"/>
          </w:tcPr>
          <w:p w14:paraId="492B40D5"/>
        </w:tc>
        <w:tc>
          <w:tcPr>
            <w:tcW w:w="383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03A85BB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工程师英语</w:t>
            </w:r>
          </w:p>
        </w:tc>
        <w:tc>
          <w:tcPr>
            <w:tcW w:w="30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04771A3">
            <w:pPr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B1+-C2</w:t>
            </w:r>
          </w:p>
        </w:tc>
      </w:tr>
      <w:tr w14:paraId="2C3B8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312" w:type="dxa"/>
            <w:vMerge w:val="continue"/>
            <w:tcBorders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2F89F97"/>
        </w:tc>
        <w:tc>
          <w:tcPr>
            <w:tcW w:w="383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C846B3A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冲突管理</w:t>
            </w:r>
          </w:p>
        </w:tc>
        <w:tc>
          <w:tcPr>
            <w:tcW w:w="3078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4825C21">
            <w:pPr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B1+-C2</w:t>
            </w:r>
          </w:p>
        </w:tc>
      </w:tr>
    </w:tbl>
    <w:p w14:paraId="5F2543CE">
      <w:pPr>
        <w:spacing w:after="40"/>
      </w:pPr>
    </w:p>
    <w:p w14:paraId="4C998E5D">
      <w:pPr>
        <w:spacing w:before="100" w:after="40"/>
        <w:ind w:firstLine="560" w:firstLineChars="200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申菱专业英语（定制开发）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167"/>
        <w:gridCol w:w="3503"/>
        <w:gridCol w:w="3556"/>
      </w:tblGrid>
      <w:tr w14:paraId="60BBA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216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5B39AD75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课程板块</w:t>
            </w:r>
          </w:p>
        </w:tc>
        <w:tc>
          <w:tcPr>
            <w:tcW w:w="35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455489CF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主要课程</w:t>
            </w:r>
          </w:p>
        </w:tc>
        <w:tc>
          <w:tcPr>
            <w:tcW w:w="355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6A6A13E8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说明</w:t>
            </w:r>
          </w:p>
        </w:tc>
      </w:tr>
      <w:tr w14:paraId="41E31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167" w:type="dxa"/>
            <w:vMerge w:val="restart"/>
            <w:tcBorders>
              <w:top w:val="single" w:color="999999" w:sz="0" w:space="0"/>
              <w:left w:val="single" w:color="999999" w:sz="0" w:space="0"/>
              <w:right w:val="single" w:color="999999" w:sz="0" w:space="0"/>
            </w:tcBorders>
            <w:vAlign w:val="center"/>
          </w:tcPr>
          <w:p w14:paraId="095ADB7F">
            <w:pPr>
              <w:jc w:val="center"/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申菱专业英语</w:t>
            </w:r>
          </w:p>
        </w:tc>
        <w:tc>
          <w:tcPr>
            <w:tcW w:w="35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B490068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数据服务温控专业英语</w:t>
            </w:r>
          </w:p>
        </w:tc>
        <w:tc>
          <w:tcPr>
            <w:tcW w:w="355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8128EDA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液冷系统、风冷系列、相变冷却</w:t>
            </w:r>
          </w:p>
        </w:tc>
      </w:tr>
      <w:tr w14:paraId="74491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167" w:type="dxa"/>
            <w:vMerge w:val="continue"/>
            <w:tcBorders>
              <w:left w:val="single" w:color="999999" w:sz="0" w:space="0"/>
              <w:right w:val="single" w:color="999999" w:sz="0" w:space="0"/>
            </w:tcBorders>
            <w:vAlign w:val="center"/>
          </w:tcPr>
          <w:p w14:paraId="700E8BF4"/>
        </w:tc>
        <w:tc>
          <w:tcPr>
            <w:tcW w:w="35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EE18ECA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工业专用空调专业英语</w:t>
            </w:r>
          </w:p>
        </w:tc>
        <w:tc>
          <w:tcPr>
            <w:tcW w:w="355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60E8E10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化工、电子、医药等工业产研场景</w:t>
            </w:r>
          </w:p>
        </w:tc>
      </w:tr>
      <w:tr w14:paraId="625C4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167" w:type="dxa"/>
            <w:vMerge w:val="continue"/>
            <w:tcBorders>
              <w:left w:val="single" w:color="999999" w:sz="0" w:space="0"/>
              <w:right w:val="single" w:color="999999" w:sz="0" w:space="0"/>
            </w:tcBorders>
            <w:vAlign w:val="center"/>
          </w:tcPr>
          <w:p w14:paraId="599CB93E"/>
        </w:tc>
        <w:tc>
          <w:tcPr>
            <w:tcW w:w="35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D3117CF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特种行业专业英语</w:t>
            </w:r>
          </w:p>
        </w:tc>
        <w:tc>
          <w:tcPr>
            <w:tcW w:w="355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BA4DA2F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核电、轨道交通、航空航天温控</w:t>
            </w:r>
          </w:p>
        </w:tc>
      </w:tr>
      <w:tr w14:paraId="56071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167" w:type="dxa"/>
            <w:vMerge w:val="continue"/>
            <w:tcBorders>
              <w:left w:val="single" w:color="999999" w:sz="0" w:space="0"/>
              <w:right w:val="single" w:color="999999" w:sz="0" w:space="0"/>
            </w:tcBorders>
            <w:vAlign w:val="center"/>
          </w:tcPr>
          <w:p w14:paraId="0A6996AD"/>
        </w:tc>
        <w:tc>
          <w:tcPr>
            <w:tcW w:w="35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F611571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环保治理专业英语</w:t>
            </w:r>
          </w:p>
        </w:tc>
        <w:tc>
          <w:tcPr>
            <w:tcW w:w="355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81157C6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VOCs回收、污泥处理</w:t>
            </w:r>
          </w:p>
        </w:tc>
      </w:tr>
      <w:tr w14:paraId="06553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167" w:type="dxa"/>
            <w:vMerge w:val="continue"/>
            <w:tcBorders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2268BF3"/>
        </w:tc>
        <w:tc>
          <w:tcPr>
            <w:tcW w:w="35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8D2606D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技术与产品介绍英语</w:t>
            </w:r>
          </w:p>
        </w:tc>
        <w:tc>
          <w:tcPr>
            <w:tcW w:w="355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D94CE87">
            <w:pPr>
              <w:ind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产品手册、解决方案讲解、技术交流</w:t>
            </w:r>
          </w:p>
        </w:tc>
      </w:tr>
    </w:tbl>
    <w:p w14:paraId="43A7B098">
      <w:pPr>
        <w:spacing w:after="100"/>
      </w:pPr>
    </w:p>
    <w:p w14:paraId="0EA17949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2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在线直播课程</w:t>
      </w:r>
    </w:p>
    <w:p w14:paraId="0D183FE4">
      <w:pPr>
        <w:spacing w:after="100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针对学员学习中的共性问题，定期组织在线直播。</w:t>
      </w:r>
    </w:p>
    <w:p w14:paraId="5ED09731">
      <w:pPr>
        <w:spacing w:before="100" w:after="40"/>
        <w:ind w:firstLine="560" w:firstLineChars="200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1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）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学习方法类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3646"/>
        <w:gridCol w:w="2564"/>
        <w:gridCol w:w="3016"/>
      </w:tblGrid>
      <w:tr w14:paraId="03ECE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3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75A87A2A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主要课程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78E2381A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适应人群</w:t>
            </w:r>
          </w:p>
        </w:tc>
        <w:tc>
          <w:tcPr>
            <w:tcW w:w="3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5BBB9CCC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时长建议</w:t>
            </w:r>
          </w:p>
        </w:tc>
      </w:tr>
      <w:tr w14:paraId="4E2D7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3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60A905A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英语听力提升三部曲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2B45A8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B2级别以下学员</w:t>
            </w:r>
          </w:p>
        </w:tc>
        <w:tc>
          <w:tcPr>
            <w:tcW w:w="3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C12A42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3小时</w:t>
            </w:r>
          </w:p>
        </w:tc>
      </w:tr>
      <w:tr w14:paraId="63C78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3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8B43F74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词汇提升的秘籍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020F52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B2级别以下学员</w:t>
            </w:r>
          </w:p>
        </w:tc>
        <w:tc>
          <w:tcPr>
            <w:tcW w:w="3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555AC3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3小时</w:t>
            </w:r>
          </w:p>
        </w:tc>
      </w:tr>
      <w:tr w14:paraId="415C4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3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0BD1A44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英语准确度不足如何破局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DC6B69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B2级别以下学员</w:t>
            </w:r>
          </w:p>
        </w:tc>
        <w:tc>
          <w:tcPr>
            <w:tcW w:w="3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59B752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6小时</w:t>
            </w:r>
          </w:p>
        </w:tc>
      </w:tr>
      <w:tr w14:paraId="6DDA8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3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FFB0EB0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如何快速提升英语表达自信心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C479C8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B1级别以下学员</w:t>
            </w:r>
          </w:p>
        </w:tc>
        <w:tc>
          <w:tcPr>
            <w:tcW w:w="3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D98A75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3小时</w:t>
            </w:r>
          </w:p>
        </w:tc>
      </w:tr>
    </w:tbl>
    <w:p w14:paraId="3D4E9EBC">
      <w:pPr>
        <w:spacing w:after="40"/>
      </w:pPr>
    </w:p>
    <w:p w14:paraId="52E3BC7F">
      <w:pPr>
        <w:spacing w:before="100" w:after="40"/>
        <w:ind w:firstLine="560" w:firstLineChars="200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2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）文化差异类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3646"/>
        <w:gridCol w:w="2564"/>
        <w:gridCol w:w="3016"/>
      </w:tblGrid>
      <w:tr w14:paraId="3CD54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3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7ADB45F0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主要课程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633746C6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适应人群</w:t>
            </w:r>
          </w:p>
        </w:tc>
        <w:tc>
          <w:tcPr>
            <w:tcW w:w="3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15438756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时长建议</w:t>
            </w:r>
          </w:p>
        </w:tc>
      </w:tr>
      <w:tr w14:paraId="65903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3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60179F2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跨文化沟通差异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BAFC9E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所有学员</w:t>
            </w:r>
          </w:p>
        </w:tc>
        <w:tc>
          <w:tcPr>
            <w:tcW w:w="3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8902D9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5小时</w:t>
            </w:r>
          </w:p>
        </w:tc>
      </w:tr>
      <w:tr w14:paraId="3A9E9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3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D47805D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海外生存英语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6D363C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B2及以下学员</w:t>
            </w:r>
          </w:p>
        </w:tc>
        <w:tc>
          <w:tcPr>
            <w:tcW w:w="3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B94A2C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6小时</w:t>
            </w:r>
          </w:p>
        </w:tc>
      </w:tr>
    </w:tbl>
    <w:p w14:paraId="0181DF78">
      <w:pPr>
        <w:spacing w:before="100" w:after="40"/>
        <w:ind w:firstLine="560" w:firstLineChars="200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</w:p>
    <w:p w14:paraId="6BFD2DF1">
      <w:pPr>
        <w:spacing w:before="100" w:after="40"/>
        <w:ind w:firstLine="560" w:firstLineChars="200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3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）商务沟通类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3646"/>
        <w:gridCol w:w="2564"/>
        <w:gridCol w:w="3016"/>
      </w:tblGrid>
      <w:tr w14:paraId="3827D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3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78AC1FF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4"/>
                <w:szCs w:val="24"/>
              </w:rPr>
              <w:t>主要课程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2591279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4"/>
                <w:szCs w:val="24"/>
              </w:rPr>
              <w:t>适应人群</w:t>
            </w:r>
          </w:p>
        </w:tc>
        <w:tc>
          <w:tcPr>
            <w:tcW w:w="3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67D8A42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4"/>
                <w:szCs w:val="24"/>
              </w:rPr>
              <w:t>时长建议</w:t>
            </w:r>
          </w:p>
        </w:tc>
      </w:tr>
      <w:tr w14:paraId="2774C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3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A06B340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涉外商务沟通技巧</w:t>
            </w:r>
          </w:p>
        </w:tc>
        <w:tc>
          <w:tcPr>
            <w:tcW w:w="2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F79CF3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全体学员</w:t>
            </w:r>
          </w:p>
        </w:tc>
        <w:tc>
          <w:tcPr>
            <w:tcW w:w="30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09104D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3小时</w:t>
            </w:r>
          </w:p>
        </w:tc>
      </w:tr>
    </w:tbl>
    <w:p w14:paraId="0A782056">
      <w:pPr>
        <w:spacing w:after="100"/>
      </w:pPr>
    </w:p>
    <w:p w14:paraId="0794065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（二）线下面授课程体系（强技能）</w:t>
      </w:r>
    </w:p>
    <w:p w14:paraId="4AD12C3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线下面授以专题形式进行，内容紧密围绕申菱环境海外业务实际场景，强调针对性、应用性和实践性。</w:t>
      </w:r>
    </w:p>
    <w:p w14:paraId="27767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1、涉外商务社交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312"/>
        <w:gridCol w:w="6914"/>
      </w:tblGrid>
      <w:tr w14:paraId="238AE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31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5CD4A375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模块</w:t>
            </w:r>
          </w:p>
        </w:tc>
        <w:tc>
          <w:tcPr>
            <w:tcW w:w="691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65C91206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内容要点</w:t>
            </w:r>
          </w:p>
        </w:tc>
      </w:tr>
      <w:tr w14:paraId="6AF0D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31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E75B0D5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商务社交</w:t>
            </w:r>
          </w:p>
        </w:tc>
        <w:tc>
          <w:tcPr>
            <w:tcW w:w="691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A38EE61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开始交谈、将交谈持续下去、建立良好关系、招待与宴请、预约会面、告辞</w:t>
            </w:r>
          </w:p>
        </w:tc>
      </w:tr>
      <w:tr w14:paraId="7ADAE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31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DEB796C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商务礼仪</w:t>
            </w:r>
          </w:p>
        </w:tc>
        <w:tc>
          <w:tcPr>
            <w:tcW w:w="691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B1E294C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中西方文化比较、国际公务礼仪、国际交往礼仪、目的国文化礼仪、案例分析</w:t>
            </w:r>
          </w:p>
        </w:tc>
      </w:tr>
    </w:tbl>
    <w:p w14:paraId="12CDE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2、涉外商务谈判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312"/>
        <w:gridCol w:w="6914"/>
      </w:tblGrid>
      <w:tr w14:paraId="1283F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231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7B4EB648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模块</w:t>
            </w:r>
          </w:p>
        </w:tc>
        <w:tc>
          <w:tcPr>
            <w:tcW w:w="691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45B6C6CC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内容要点</w:t>
            </w:r>
          </w:p>
        </w:tc>
      </w:tr>
      <w:tr w14:paraId="00142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31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7E97E50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谈判能力提升</w:t>
            </w:r>
          </w:p>
        </w:tc>
        <w:tc>
          <w:tcPr>
            <w:tcW w:w="691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DEF7183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确定谈判目标、阐明立场、陈述观点、礼貌反驳与拒绝、确立主动地位、总结与达成协议</w:t>
            </w:r>
          </w:p>
        </w:tc>
      </w:tr>
      <w:tr w14:paraId="076EC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31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CE78D7F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谈判技巧</w:t>
            </w:r>
          </w:p>
        </w:tc>
        <w:tc>
          <w:tcPr>
            <w:tcW w:w="691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7E95EC4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说服技巧与关系建立、谈判策略与沟通技巧、异议管理与解决技巧、磋商阶段策略</w:t>
            </w:r>
          </w:p>
        </w:tc>
      </w:tr>
    </w:tbl>
    <w:p w14:paraId="616BAD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3、涉外商务演讲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299"/>
        <w:gridCol w:w="6927"/>
      </w:tblGrid>
      <w:tr w14:paraId="535AC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9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674F60E1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模块</w:t>
            </w:r>
          </w:p>
        </w:tc>
        <w:tc>
          <w:tcPr>
            <w:tcW w:w="692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563912F4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内容要点</w:t>
            </w:r>
          </w:p>
        </w:tc>
      </w:tr>
      <w:tr w14:paraId="7158D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29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B243937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演讲准备</w:t>
            </w:r>
          </w:p>
        </w:tc>
        <w:tc>
          <w:tcPr>
            <w:tcW w:w="692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D133CA5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演讲框架设计、材料组织、内容与架构、形成演讲内容、引导受众关注</w:t>
            </w:r>
          </w:p>
        </w:tc>
      </w:tr>
      <w:tr w14:paraId="32689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29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5FF8AF4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演讲实践</w:t>
            </w:r>
          </w:p>
        </w:tc>
        <w:tc>
          <w:tcPr>
            <w:tcW w:w="692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1870005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克服紧张、演讲前训练、持续提升、与观众互动、肢体语言应用、现场问答技巧</w:t>
            </w:r>
          </w:p>
        </w:tc>
      </w:tr>
    </w:tbl>
    <w:p w14:paraId="50EB0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4、全球会议与会展交流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325"/>
        <w:gridCol w:w="6901"/>
      </w:tblGrid>
      <w:tr w14:paraId="71A1D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232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72075180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模块</w:t>
            </w:r>
          </w:p>
        </w:tc>
        <w:tc>
          <w:tcPr>
            <w:tcW w:w="690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41EF4B37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内容要点</w:t>
            </w:r>
          </w:p>
        </w:tc>
      </w:tr>
      <w:tr w14:paraId="70DF0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32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65D1DAE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会议交流实战</w:t>
            </w:r>
          </w:p>
        </w:tc>
        <w:tc>
          <w:tcPr>
            <w:tcW w:w="690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427102B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资料收集与分析、发言技巧、提问与回应、总结与报告撰写</w:t>
            </w:r>
          </w:p>
        </w:tc>
      </w:tr>
      <w:tr w14:paraId="2CCD8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32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FCC7018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会展交流实战</w:t>
            </w:r>
          </w:p>
        </w:tc>
        <w:tc>
          <w:tcPr>
            <w:tcW w:w="690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11D3369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展位设计与展示技巧、产品技术讲解与演示、客户沟通策略、展会商务谈判</w:t>
            </w:r>
          </w:p>
        </w:tc>
      </w:tr>
    </w:tbl>
    <w:p w14:paraId="1C6F6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5、跨文化沟通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351"/>
        <w:gridCol w:w="6875"/>
      </w:tblGrid>
      <w:tr w14:paraId="615DE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235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1D8DB73C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模块</w:t>
            </w:r>
          </w:p>
        </w:tc>
        <w:tc>
          <w:tcPr>
            <w:tcW w:w="687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725A3B67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内容要点</w:t>
            </w:r>
          </w:p>
        </w:tc>
      </w:tr>
      <w:tr w14:paraId="46A90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35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0192A65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意识筑基</w:t>
            </w:r>
          </w:p>
        </w:tc>
        <w:tc>
          <w:tcPr>
            <w:tcW w:w="687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6986D8C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从"误解"到"理解"，全球关键文化维度</w:t>
            </w:r>
          </w:p>
        </w:tc>
      </w:tr>
      <w:tr w14:paraId="5B3C8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35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1C8FD03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沟通实战</w:t>
            </w:r>
          </w:p>
        </w:tc>
        <w:tc>
          <w:tcPr>
            <w:tcW w:w="687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FA586B9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沟通陷阱识别与规避、建立信任与关系、跨文化团队管理与冲突解决</w:t>
            </w:r>
          </w:p>
        </w:tc>
      </w:tr>
      <w:tr w14:paraId="05DFE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35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EDFA07A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高压模拟</w:t>
            </w:r>
          </w:p>
        </w:tc>
        <w:tc>
          <w:tcPr>
            <w:tcW w:w="687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25B18FB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综合情景演练，覆盖东南亚、美国、欧洲等申菱目标市场</w:t>
            </w:r>
          </w:p>
        </w:tc>
      </w:tr>
    </w:tbl>
    <w:p w14:paraId="371A0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6、申菱专业英语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2351"/>
        <w:gridCol w:w="6875"/>
      </w:tblGrid>
      <w:tr w14:paraId="51121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235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7B0A7BD8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模块</w:t>
            </w:r>
          </w:p>
        </w:tc>
        <w:tc>
          <w:tcPr>
            <w:tcW w:w="687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05A01584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内容要点</w:t>
            </w:r>
          </w:p>
        </w:tc>
      </w:tr>
      <w:tr w14:paraId="67024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35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3E0426F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技术方案讲解</w:t>
            </w:r>
          </w:p>
        </w:tc>
        <w:tc>
          <w:tcPr>
            <w:tcW w:w="687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8D2875D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用英语进行液冷/风冷/相变冷却技术方案介绍</w:t>
            </w:r>
          </w:p>
        </w:tc>
      </w:tr>
      <w:tr w14:paraId="4DDFD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35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C3F3943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项目交付沟通</w:t>
            </w:r>
          </w:p>
        </w:tc>
        <w:tc>
          <w:tcPr>
            <w:tcW w:w="687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D3A14CB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海外项目现场协调、进度汇报、问题沟通</w:t>
            </w:r>
          </w:p>
        </w:tc>
      </w:tr>
      <w:tr w14:paraId="3FF09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351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100A6AF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客户交流</w:t>
            </w:r>
          </w:p>
        </w:tc>
        <w:tc>
          <w:tcPr>
            <w:tcW w:w="687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4B34636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客户需求沟通、产品演示、技术答疑</w:t>
            </w:r>
          </w:p>
        </w:tc>
      </w:tr>
    </w:tbl>
    <w:p w14:paraId="51FA70E7">
      <w:pPr>
        <w:rPr>
          <w:rFonts w:hint="eastAsia" w:ascii="仿宋" w:hAnsi="仿宋" w:eastAsia="仿宋" w:cs="仿宋"/>
          <w:sz w:val="24"/>
          <w:szCs w:val="24"/>
        </w:rPr>
      </w:pPr>
    </w:p>
    <w:p w14:paraId="678DDEA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（三）课程匹配逻辑</w:t>
      </w:r>
    </w:p>
    <w:p w14:paraId="7933BB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课程并非分配给所有学员的统一方案，而是根据盘点结果，为不同层级、不同岗位需求的学员匹配差异化的课程路径：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972"/>
        <w:gridCol w:w="2758"/>
        <w:gridCol w:w="2365"/>
        <w:gridCol w:w="2131"/>
      </w:tblGrid>
      <w:tr w14:paraId="4C319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0B33E72C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学员群体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6AC82980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在线课程重点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3A998073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面授重点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0D3924B6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外教约课</w:t>
            </w:r>
          </w:p>
        </w:tc>
      </w:tr>
      <w:tr w14:paraId="30DEB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7C80D3C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即将外派人员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07BF395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申菱专业英语 + 涉外商务沟通 + 跨文化差异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87174B1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全部6个模块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740581A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36节/年起</w:t>
            </w:r>
          </w:p>
        </w:tc>
      </w:tr>
      <w:tr w14:paraId="7F274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E91AA72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重点储备人员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6326663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申菱专业英语 + 涉外日常交流 + 涉外商务沟通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52A5A0B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根据岗位短板选择2-3个模块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DD6D20B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24节/年起</w:t>
            </w:r>
          </w:p>
        </w:tc>
      </w:tr>
      <w:tr w14:paraId="18402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ADB7A8B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业务骨干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05D2BD2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涉外商务沟通 + 专项技能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5C80987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根据岗位短板选择1-2个模块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A9748A9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12节/年起</w:t>
            </w:r>
          </w:p>
        </w:tc>
      </w:tr>
      <w:tr w14:paraId="1ED05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CE78159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全员普适</w:t>
            </w:r>
          </w:p>
        </w:tc>
        <w:tc>
          <w:tcPr>
            <w:tcW w:w="2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E532098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涉外日常交流 + 海外生存英语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22EF4571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—</w:t>
            </w:r>
          </w:p>
        </w:tc>
        <w:tc>
          <w:tcPr>
            <w:tcW w:w="2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B0821E8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优秀学员配置</w:t>
            </w:r>
          </w:p>
        </w:tc>
      </w:tr>
    </w:tbl>
    <w:p w14:paraId="4B9BA64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520" w:lineRule="exact"/>
        <w:ind w:firstLine="560" w:firstLineChars="20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六、教学管理措施</w:t>
      </w:r>
    </w:p>
    <w:p w14:paraId="6CEF1E2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（一）组织与人员保障</w:t>
      </w:r>
    </w:p>
    <w:p w14:paraId="39BAFC72">
      <w:pPr>
        <w:pStyle w:val="1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1、</w:t>
      </w:r>
      <w:r>
        <w:rPr>
          <w:rFonts w:hint="eastAsia" w:ascii="仿宋" w:hAnsi="仿宋" w:eastAsia="仿宋" w:cs="仿宋"/>
          <w:sz w:val="28"/>
          <w:szCs w:val="28"/>
        </w:rPr>
        <w:t>成立专属项目治理小组：设立"申菱环境国际化赋能项目组"，由项目总监、学术总监、教学经理构成核心决策与执行层，确保战略对齐、资源统筹、质量把控。</w:t>
      </w:r>
    </w:p>
    <w:p w14:paraId="6D98CBD1">
      <w:pPr>
        <w:pStyle w:val="1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2、</w:t>
      </w:r>
      <w:r>
        <w:rPr>
          <w:rFonts w:hint="eastAsia" w:ascii="仿宋" w:hAnsi="仿宋" w:eastAsia="仿宋" w:cs="仿宋"/>
          <w:sz w:val="28"/>
          <w:szCs w:val="28"/>
        </w:rPr>
        <w:t>配置精细化运营团队：按适当师生比配备专职班主任，形成网格化管理。同时配置专属学习教练、技术支持人员，实现对学员学习过程的精细化跟踪与个性化辅导。</w:t>
      </w:r>
    </w:p>
    <w:p w14:paraId="6508D20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（二）过程管控与督导</w:t>
      </w:r>
    </w:p>
    <w:p w14:paraId="455F8922">
      <w:pPr>
        <w:pStyle w:val="1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1、</w:t>
      </w:r>
      <w:r>
        <w:rPr>
          <w:rFonts w:hint="eastAsia" w:ascii="仿宋" w:hAnsi="仿宋" w:eastAsia="仿宋" w:cs="仿宋"/>
          <w:sz w:val="28"/>
          <w:szCs w:val="28"/>
        </w:rPr>
        <w:t>"三维数据看板"驱动过程管理：搭建"个人-团队-业务线"三维动态数据看板，实时追踪学习时长、任务完成率、外教出勤、测评成绩等关键指标。从"经验管理"转向"数据管理"。</w:t>
      </w:r>
    </w:p>
    <w:p w14:paraId="2714290A">
      <w:pPr>
        <w:pStyle w:val="1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2、</w:t>
      </w:r>
      <w:r>
        <w:rPr>
          <w:rFonts w:hint="eastAsia" w:ascii="仿宋" w:hAnsi="仿宋" w:eastAsia="仿宋" w:cs="仿宋"/>
          <w:sz w:val="28"/>
          <w:szCs w:val="28"/>
        </w:rPr>
        <w:t>分阶段精细化运营：将学习周期科学划分为"启动适应期"、"习惯深化期"、"实战冲刺期"，针对每阶段学员心理与学习特点，设计差异化的内容推送、互动频率与辅导重点。</w:t>
      </w:r>
    </w:p>
    <w:p w14:paraId="647626BE">
      <w:pPr>
        <w:pStyle w:val="1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3、</w:t>
      </w:r>
      <w:r>
        <w:rPr>
          <w:rFonts w:hint="eastAsia" w:ascii="仿宋" w:hAnsi="仿宋" w:eastAsia="仿宋" w:cs="仿宋"/>
          <w:sz w:val="28"/>
          <w:szCs w:val="28"/>
        </w:rPr>
        <w:t>定期沟通与汇报机制：建立月度数据报告与季度联席会议制度。月度报告向管理层呈现整体进展与风险预警；季度会议进行阶段性复盘与计划对齐。</w:t>
      </w:r>
    </w:p>
    <w:p w14:paraId="54C6AA1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560" w:firstLineChars="200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（三）动力激发与激励</w:t>
      </w:r>
    </w:p>
    <w:p w14:paraId="0EBF26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多维积分荣誉体系：设计积分系统，积分来源于课件学习、外教约课、活动参与、社群分享等所有学习行为。设立"个人榜"、"团队先锋榜"、"进步飞跃榜"、"毅力勋章"等多维荣誉榜单，通过游戏化设计持续激发参与热情。</w:t>
      </w:r>
    </w:p>
    <w:p w14:paraId="678E4C2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562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（四）学习生态与氛围营造</w:t>
      </w:r>
    </w:p>
    <w:p w14:paraId="206E82CE">
      <w:pPr>
        <w:pStyle w:val="1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1、</w:t>
      </w:r>
      <w:r>
        <w:rPr>
          <w:rFonts w:hint="eastAsia" w:ascii="仿宋" w:hAnsi="仿宋" w:eastAsia="仿宋" w:cs="仿宋"/>
          <w:sz w:val="28"/>
          <w:szCs w:val="28"/>
        </w:rPr>
        <w:t>主题社群活动：定期组织英语沙龙、行业配音挑战、跨文化分享会、出海经验交流等线上/线下活动，构建沉浸式学习社区。</w:t>
      </w:r>
    </w:p>
    <w:p w14:paraId="3B15EC86">
      <w:pPr>
        <w:pStyle w:val="1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2、</w:t>
      </w:r>
      <w:r>
        <w:rPr>
          <w:rFonts w:hint="eastAsia" w:ascii="仿宋" w:hAnsi="仿宋" w:eastAsia="仿宋" w:cs="仿宋"/>
          <w:sz w:val="28"/>
          <w:szCs w:val="28"/>
        </w:rPr>
        <w:t>"业务实战任务"牵引：设计与当前海外业务紧密相关的模拟任务或案例挑战（如用英语进行一项液冷方案讲解、模拟一次海外客户谈判），使学习直接指向业务产出。</w:t>
      </w:r>
    </w:p>
    <w:p w14:paraId="7767D6D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120" w:line="520" w:lineRule="exact"/>
        <w:ind w:firstLine="560" w:firstLineChars="20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七、项目考核与效果追踪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710"/>
        <w:gridCol w:w="3574"/>
        <w:gridCol w:w="3942"/>
      </w:tblGrid>
      <w:tr w14:paraId="18C86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171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23E97A91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阶段</w:t>
            </w:r>
          </w:p>
        </w:tc>
        <w:tc>
          <w:tcPr>
            <w:tcW w:w="357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04BBE163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考核方式</w:t>
            </w:r>
          </w:p>
        </w:tc>
        <w:tc>
          <w:tcPr>
            <w:tcW w:w="394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5BC191BF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结果应用</w:t>
            </w:r>
          </w:p>
        </w:tc>
      </w:tr>
      <w:tr w14:paraId="5A873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71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F3BBF11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入学测评</w:t>
            </w:r>
          </w:p>
        </w:tc>
        <w:tc>
          <w:tcPr>
            <w:tcW w:w="357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7AC0911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CEFR标准线上笔试 + AI口语测评</w:t>
            </w:r>
          </w:p>
        </w:tc>
        <w:tc>
          <w:tcPr>
            <w:tcW w:w="394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B0F7CC7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学员分级，形成公司全员英语能力基线报告</w:t>
            </w:r>
          </w:p>
        </w:tc>
      </w:tr>
      <w:tr w14:paraId="5D6EE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71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3E54B32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季度追踪测评</w:t>
            </w:r>
          </w:p>
        </w:tc>
        <w:tc>
          <w:tcPr>
            <w:tcW w:w="357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4AE1F24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CEFR标准线上笔试 + AI口语测评</w:t>
            </w:r>
          </w:p>
        </w:tc>
        <w:tc>
          <w:tcPr>
            <w:tcW w:w="394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BD710F8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追踪个人与整体进步，动态调整学习资源推荐</w:t>
            </w:r>
          </w:p>
        </w:tc>
      </w:tr>
      <w:tr w14:paraId="1EAF4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71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ED99508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年度结业测评</w:t>
            </w:r>
          </w:p>
        </w:tc>
        <w:tc>
          <w:tcPr>
            <w:tcW w:w="357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4E6DFAC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CEFR标准线上笔试 + AI口语测评</w:t>
            </w:r>
          </w:p>
        </w:tc>
        <w:tc>
          <w:tcPr>
            <w:tcW w:w="394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605FE14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颁发等级证书，形成个人年度学习报告，识别高潜人才</w:t>
            </w:r>
          </w:p>
        </w:tc>
      </w:tr>
      <w:tr w14:paraId="5379C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71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0707228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过程数据监控</w:t>
            </w:r>
          </w:p>
        </w:tc>
        <w:tc>
          <w:tcPr>
            <w:tcW w:w="3574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D0CAB2C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学习时长、完成率、互动率、积分</w:t>
            </w:r>
          </w:p>
        </w:tc>
        <w:tc>
          <w:tcPr>
            <w:tcW w:w="394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C367AD6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积分奖励与评选，分析学习热点与难点，优化运营策略</w:t>
            </w:r>
          </w:p>
        </w:tc>
      </w:tr>
    </w:tbl>
    <w:p w14:paraId="0F0CD9BD">
      <w:pPr>
        <w:pStyle w:val="1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综合成绩构成：</w:t>
      </w:r>
    </w:p>
    <w:p w14:paraId="2DA01323">
      <w:pPr>
        <w:pStyle w:val="1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年度总成绩 = 过程性积分（40%）+ 季度追踪测评平均成绩（30%）+ 年度结业测评成绩（30%）</w:t>
      </w:r>
    </w:p>
    <w:p w14:paraId="1FC8EEDB">
      <w:pPr>
        <w:pStyle w:val="1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结业要求：总成绩 ≥ 70分，过程性积分达到基础要求，年度结业测评CEFR等级较入学提升至少一个子级</w:t>
      </w:r>
    </w:p>
    <w:p w14:paraId="270BC72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20" w:lineRule="exact"/>
        <w:ind w:firstLine="560" w:firstLineChars="20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八、专业术语库建设</w:t>
      </w:r>
    </w:p>
    <w:p w14:paraId="3B990712">
      <w:pPr>
        <w:pStyle w:val="1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（一）建设意义</w:t>
      </w:r>
    </w:p>
    <w:p w14:paraId="10CD3F7C">
      <w:pPr>
        <w:pStyle w:val="1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申菱环境业务涉及数据服务温控、工业专用空调、特种行业温控、环保治理等多个技术领域，专业术语体系庞大。建立申菱专业英语术语库，不仅是培训的基础支撑，也是公司海外业务知识管理的重要组成部分。</w:t>
      </w:r>
    </w:p>
    <w:p w14:paraId="6F384FEC">
      <w:pPr>
        <w:pStyle w:val="1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（二）萃取流程</w:t>
      </w:r>
    </w:p>
    <w:p w14:paraId="555AD79D">
      <w:pPr>
        <w:pStyle w:val="1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1、</w:t>
      </w:r>
      <w:r>
        <w:rPr>
          <w:rFonts w:hint="eastAsia" w:ascii="仿宋" w:hAnsi="仿宋" w:eastAsia="仿宋" w:cs="仿宋"/>
          <w:sz w:val="28"/>
          <w:szCs w:val="28"/>
        </w:rPr>
        <w:t>材料收集：收集各业务线的技术文档、产品手册、项目方案、技术标书、客户沟通记录等原始材料</w:t>
      </w:r>
    </w:p>
    <w:p w14:paraId="029BC31A">
      <w:pPr>
        <w:pStyle w:val="1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2、</w:t>
      </w:r>
      <w:r>
        <w:rPr>
          <w:rFonts w:hint="eastAsia" w:ascii="仿宋" w:hAnsi="仿宋" w:eastAsia="仿宋" w:cs="仿宋"/>
          <w:sz w:val="28"/>
          <w:szCs w:val="28"/>
        </w:rPr>
        <w:t>术语提取：由教学团队与申菱技术专家配合，从材料中提取高频专业术语和表达</w:t>
      </w:r>
    </w:p>
    <w:p w14:paraId="0300BBDB">
      <w:pPr>
        <w:pStyle w:val="1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3、</w:t>
      </w:r>
      <w:r>
        <w:rPr>
          <w:rFonts w:hint="eastAsia" w:ascii="仿宋" w:hAnsi="仿宋" w:eastAsia="仿宋" w:cs="仿宋"/>
          <w:sz w:val="28"/>
          <w:szCs w:val="28"/>
        </w:rPr>
        <w:t>标准化整理：按业务领域、使用场景分类整理，形成"术语-释义-英文表达-使用例句"的标准条目</w:t>
      </w:r>
    </w:p>
    <w:p w14:paraId="28C9A530">
      <w:pPr>
        <w:pStyle w:val="1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4、</w:t>
      </w:r>
      <w:r>
        <w:rPr>
          <w:rFonts w:hint="eastAsia" w:ascii="仿宋" w:hAnsi="仿宋" w:eastAsia="仿宋" w:cs="仿宋"/>
          <w:sz w:val="28"/>
          <w:szCs w:val="28"/>
        </w:rPr>
        <w:t>审核验证：由申菱技术专家审核专业准确性，由外教审核英文表达的规范性</w:t>
      </w:r>
    </w:p>
    <w:p w14:paraId="2B634A77">
      <w:pPr>
        <w:pStyle w:val="1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5、</w:t>
      </w:r>
      <w:r>
        <w:rPr>
          <w:rFonts w:hint="eastAsia" w:ascii="仿宋" w:hAnsi="仿宋" w:eastAsia="仿宋" w:cs="仿宋"/>
          <w:sz w:val="28"/>
          <w:szCs w:val="28"/>
        </w:rPr>
        <w:t>持续更新：随业务发展定期更新扩充</w:t>
      </w:r>
    </w:p>
    <w:p w14:paraId="08AB14A3">
      <w:pPr>
        <w:pStyle w:val="1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（三）应用范围</w:t>
      </w:r>
    </w:p>
    <w:p w14:paraId="6CCCA521">
      <w:pPr>
        <w:pStyle w:val="1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1、</w:t>
      </w:r>
      <w:r>
        <w:rPr>
          <w:rFonts w:hint="eastAsia" w:ascii="仿宋" w:hAnsi="仿宋" w:eastAsia="仿宋" w:cs="仿宋"/>
          <w:sz w:val="28"/>
          <w:szCs w:val="28"/>
        </w:rPr>
        <w:t>课程开发：为申菱专业英语课程提供素材基础</w:t>
      </w:r>
    </w:p>
    <w:p w14:paraId="29818FFF">
      <w:pPr>
        <w:pStyle w:val="1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2、</w:t>
      </w:r>
      <w:r>
        <w:rPr>
          <w:rFonts w:hint="eastAsia" w:ascii="仿宋" w:hAnsi="仿宋" w:eastAsia="仿宋" w:cs="仿宋"/>
          <w:sz w:val="28"/>
          <w:szCs w:val="28"/>
        </w:rPr>
        <w:t>学员学习：作为学员日常查阅和自主学习的工具</w:t>
      </w:r>
    </w:p>
    <w:p w14:paraId="6C974270">
      <w:pPr>
        <w:pStyle w:val="1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3、</w:t>
      </w:r>
      <w:r>
        <w:rPr>
          <w:rFonts w:hint="eastAsia" w:ascii="仿宋" w:hAnsi="仿宋" w:eastAsia="仿宋" w:cs="仿宋"/>
          <w:sz w:val="28"/>
          <w:szCs w:val="28"/>
        </w:rPr>
        <w:t>海外业务：为海外项目团队提供标准化的英文表达参考</w:t>
      </w:r>
    </w:p>
    <w:p w14:paraId="553834FE">
      <w:pPr>
        <w:pStyle w:val="1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4、</w:t>
      </w:r>
      <w:r>
        <w:rPr>
          <w:rFonts w:hint="eastAsia" w:ascii="仿宋" w:hAnsi="仿宋" w:eastAsia="仿宋" w:cs="仿宋"/>
          <w:sz w:val="28"/>
          <w:szCs w:val="28"/>
        </w:rPr>
        <w:t>新员工培训：加速新入职涉外岗位人员的工作英语上手</w:t>
      </w:r>
    </w:p>
    <w:p w14:paraId="078E022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120" w:line="520" w:lineRule="exact"/>
        <w:ind w:firstLine="560" w:firstLineChars="20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九、项目实施建议</w:t>
      </w:r>
    </w:p>
    <w:p w14:paraId="6A735873">
      <w:pPr>
        <w:pStyle w:val="3"/>
        <w:spacing w:before="200" w:after="120"/>
        <w:ind w:firstLine="560" w:firstLineChars="200"/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28"/>
        </w:rPr>
        <w:t>分步推进节奏建议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1480"/>
        <w:gridCol w:w="1473"/>
        <w:gridCol w:w="3316"/>
        <w:gridCol w:w="2957"/>
      </w:tblGrid>
      <w:tr w14:paraId="57780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rPr>
          <w:tblHeader/>
        </w:trPr>
        <w:tc>
          <w:tcPr>
            <w:tcW w:w="14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431E7635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阶段</w:t>
            </w:r>
          </w:p>
        </w:tc>
        <w:tc>
          <w:tcPr>
            <w:tcW w:w="14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4D4AD2E0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时间窗口</w:t>
            </w:r>
          </w:p>
        </w:tc>
        <w:tc>
          <w:tcPr>
            <w:tcW w:w="331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4EDFAA17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核心工作</w:t>
            </w:r>
          </w:p>
        </w:tc>
        <w:tc>
          <w:tcPr>
            <w:tcW w:w="295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DF2"/>
            <w:vAlign w:val="center"/>
          </w:tcPr>
          <w:p w14:paraId="6409F79D">
            <w:pPr>
              <w:jc w:val="center"/>
              <w:rPr>
                <w:b w:val="0"/>
                <w:bCs w:val="0"/>
              </w:rPr>
            </w:pPr>
            <w:r>
              <w:rPr>
                <w:rFonts w:ascii="黑体" w:hAnsi="黑体" w:eastAsia="黑体" w:cs="黑体"/>
                <w:b w:val="0"/>
                <w:bCs w:val="0"/>
                <w:sz w:val="24"/>
                <w:szCs w:val="24"/>
              </w:rPr>
              <w:t>预期产出</w:t>
            </w:r>
          </w:p>
        </w:tc>
      </w:tr>
      <w:tr w14:paraId="50122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4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0D99980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盘点期</w:t>
            </w:r>
          </w:p>
        </w:tc>
        <w:tc>
          <w:tcPr>
            <w:tcW w:w="14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AECF26A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第1个月</w:t>
            </w:r>
          </w:p>
        </w:tc>
        <w:tc>
          <w:tcPr>
            <w:tcW w:w="331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657DABA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全员英语能力盘点（15天）</w:t>
            </w:r>
          </w:p>
        </w:tc>
        <w:tc>
          <w:tcPr>
            <w:tcW w:w="295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5865008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能力基线报告、培训规划方案</w:t>
            </w:r>
          </w:p>
        </w:tc>
      </w:tr>
      <w:tr w14:paraId="5D007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4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C155A07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启动期</w:t>
            </w:r>
          </w:p>
        </w:tc>
        <w:tc>
          <w:tcPr>
            <w:tcW w:w="14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B8C5EF4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第3-4个月</w:t>
            </w:r>
          </w:p>
        </w:tc>
        <w:tc>
          <w:tcPr>
            <w:tcW w:w="331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8C75719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重点人员培训启动、在线学习平台上线</w:t>
            </w:r>
          </w:p>
        </w:tc>
        <w:tc>
          <w:tcPr>
            <w:tcW w:w="295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69EF5FE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首批学员开课</w:t>
            </w:r>
          </w:p>
        </w:tc>
      </w:tr>
      <w:tr w14:paraId="0DF05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4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496255A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展开期</w:t>
            </w:r>
          </w:p>
        </w:tc>
        <w:tc>
          <w:tcPr>
            <w:tcW w:w="14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0B45DD9C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第5-8个月</w:t>
            </w:r>
          </w:p>
        </w:tc>
        <w:tc>
          <w:tcPr>
            <w:tcW w:w="331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6BF9281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骨干人员培训展开、专业术语库一期建设</w:t>
            </w:r>
          </w:p>
        </w:tc>
        <w:tc>
          <w:tcPr>
            <w:tcW w:w="295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29EE4D4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中期评估报告</w:t>
            </w:r>
          </w:p>
        </w:tc>
      </w:tr>
      <w:tr w14:paraId="5AC25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0" w:type="dxa"/>
            <w:bottom w:w="40" w:type="dxa"/>
            <w:right w:w="100" w:type="dxa"/>
          </w:tblCellMar>
        </w:tblPrEx>
        <w:tc>
          <w:tcPr>
            <w:tcW w:w="14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4A4168B3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深化期</w:t>
            </w:r>
          </w:p>
        </w:tc>
        <w:tc>
          <w:tcPr>
            <w:tcW w:w="147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EBF79FE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第9-12个月</w:t>
            </w:r>
          </w:p>
        </w:tc>
        <w:tc>
          <w:tcPr>
            <w:tcW w:w="331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19AC6FC4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全员学习推进、术语库二期、效果评估</w:t>
            </w:r>
          </w:p>
        </w:tc>
        <w:tc>
          <w:tcPr>
            <w:tcW w:w="295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3AFDD3FA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年度总结报告</w:t>
            </w:r>
          </w:p>
        </w:tc>
      </w:tr>
    </w:tbl>
    <w:p w14:paraId="4B60A834">
      <w:pPr>
        <w:spacing w:after="100"/>
      </w:pPr>
    </w:p>
    <w:p w14:paraId="4782309A">
      <w:pPr>
        <w:pStyle w:val="3"/>
        <w:spacing w:before="200" w:after="120"/>
        <w:ind w:firstLine="562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关键成功因素</w:t>
      </w:r>
    </w:p>
    <w:p w14:paraId="42232657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1、</w:t>
      </w:r>
      <w:r>
        <w:rPr>
          <w:rFonts w:hint="eastAsia" w:ascii="仿宋" w:hAnsi="仿宋" w:eastAsia="仿宋" w:cs="仿宋"/>
          <w:sz w:val="28"/>
          <w:szCs w:val="28"/>
        </w:rPr>
        <w:t>高层重视：培训效果与资源投入直接相关，需要公司管理层的明确支持和资源保障。</w:t>
      </w:r>
    </w:p>
    <w:p w14:paraId="6B1FFDC9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2、</w:t>
      </w:r>
      <w:r>
        <w:rPr>
          <w:rFonts w:hint="eastAsia" w:ascii="仿宋" w:hAnsi="仿宋" w:eastAsia="仿宋" w:cs="仿宋"/>
          <w:sz w:val="28"/>
          <w:szCs w:val="28"/>
        </w:rPr>
        <w:t>业务结合：培训内容与申菱实际海外业务需求紧密结合，避免学用脱节。</w:t>
      </w:r>
    </w:p>
    <w:p w14:paraId="2637C2C5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3、</w:t>
      </w:r>
      <w:r>
        <w:rPr>
          <w:rFonts w:hint="eastAsia" w:ascii="仿宋" w:hAnsi="仿宋" w:eastAsia="仿宋" w:cs="仿宋"/>
          <w:sz w:val="28"/>
          <w:szCs w:val="28"/>
        </w:rPr>
        <w:t>持续运营：语言学习是长期过程，需要持续的运营投入和机制保障，避免短期化、运动式培训。</w:t>
      </w:r>
    </w:p>
    <w:p w14:paraId="3BE828CE">
      <w:pPr>
        <w:pStyle w:val="1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520" w:lineRule="exact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4、</w:t>
      </w:r>
      <w:r>
        <w:rPr>
          <w:rFonts w:hint="eastAsia" w:ascii="仿宋" w:hAnsi="仿宋" w:eastAsia="仿宋" w:cs="仿宋"/>
          <w:sz w:val="28"/>
          <w:szCs w:val="28"/>
        </w:rPr>
        <w:t>数据驱动：以盘点数据和过程数据为决策依据，持续优化培训方案和资源配置。</w:t>
      </w:r>
    </w:p>
    <w:p w14:paraId="064A7A45">
      <w:pPr>
        <w:jc w:val="center"/>
      </w:pPr>
      <w:bookmarkStart w:id="0" w:name="_GoBack"/>
      <w:bookmarkEnd w:id="0"/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97436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2D270D2"/>
    <w:rsid w:val="23305E7B"/>
    <w:rsid w:val="2F7610B9"/>
    <w:rsid w:val="372821F1"/>
    <w:rsid w:val="3E740EBA"/>
    <w:rsid w:val="60EC6A9B"/>
    <w:rsid w:val="670700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300" w:after="160"/>
      <w:outlineLvl w:val="0"/>
    </w:pPr>
    <w:rPr>
      <w:rFonts w:ascii="黑体" w:hAnsi="黑体" w:eastAsia="黑体" w:cs="黑体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宋体" w:hAnsi="宋体" w:eastAsia="宋体" w:cs="宋体"/>
      <w:b/>
      <w:bCs/>
      <w:color w:val="000000"/>
      <w:sz w:val="26"/>
      <w:szCs w:val="26"/>
    </w:rPr>
  </w:style>
  <w:style w:type="paragraph" w:styleId="4">
    <w:name w:val="heading 3"/>
    <w:next w:val="1"/>
    <w:qFormat/>
    <w:uiPriority w:val="0"/>
    <w:pPr>
      <w:spacing w:before="140" w:after="80"/>
      <w:outlineLvl w:val="2"/>
    </w:pPr>
    <w:rPr>
      <w:rFonts w:ascii="宋体" w:hAnsi="宋体" w:eastAsia="宋体" w:cs="宋体"/>
      <w:b/>
      <w:bCs/>
      <w:color w:val="000000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5826</Words>
  <Characters>6083</Characters>
  <TotalTime>29</TotalTime>
  <ScaleCrop>false</ScaleCrop>
  <LinksUpToDate>false</LinksUpToDate>
  <CharactersWithSpaces>6126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2026-05-20T02:41:00Z</dcterms:created>
  <dc:creator>Un-named</dc:creator>
  <cp:lastModifiedBy>Carl</cp:lastModifiedBy>
  <dcterms:modified xsi:type="dcterms:W3CDTF">2026-05-20T03:39:15Z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eyJoZGlkIjoiYTIwN2IzNGU2Yjg0MzlmMzgyNTA4M2NiMmQzOWJkYWYiLCJ1c2VySWQiOiIyNTQ0NDU5NjMifQ==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534F46F226E14517ABCFBA989FBEE162_12</vt:lpwstr>
  </property>
</Properties>
</file>