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3C49"/>
          <w:sz w:val="40"/>
          <w:szCs w:val="40"/>
        </w:rPr>
        <w:t xml:space="preserve">AoBPlatform — Strategy</w:t>
      </w:r>
    </w:p>
    <w:p>
      <w:pPr>
        <w:spacing w:after="2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A6B72"/>
          <w:sz w:val="19"/>
          <w:szCs w:val="19"/>
        </w:rPr>
        <w:t xml:space="preserve">Business proposal insert · Platform, product and expansion strategy · 20 August 2026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The strategy in one paragraph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We enter as the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compliance record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for Medicare bulk-billing consent — a statutory obligation with a hard deadline (verbal assignment ends 30 June 2027) and large vendor segments that have shipped nothing. We expand as the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system of 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for practice administration: an AI agent that completes the work the practice management system only records. We extend as the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consent rail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across adjacent schemes (NDIS first), and we hold an option on the deepest asset the work creates — the verified record of who may act for whom. Each stage is funded by the one before it, and each is gated by a measured number, not a hope.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Why this sequence wins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The wedge is statutory.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bulk-billed service (~358m a year) requires a signed assignment of benefit; practices on Medtech, the Magentus products and the entire allied-health stack have no digital path, and the fallback that lets everyone coast expires on 30 June 2027. Demand is created by law and carries a date.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The expansion is the unowned layer.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PMS is a system of record — it records, it does not pursue. HotDoc owns bookings, AutoMed owns check-in, Cubiko owns dashboards, the rails own payments, and the connective tissue between all of them is a human at the front desk. Nobody completes administrative outcomes: consent chased to signed, rejection reworked to paid, recall pursued to attended. That completion layer is the agent’s product, measured on outcomes closed per week — a metric no incumbent reports. A 5-GP practice spends $150–250k a year on administrative labour; the agent prices against that, lifting revenue per practice from ~$6k toward $30k+.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We hold the four assets the agent needs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and nobody else assembles: verified patient identity, the consent and authority record, three-way money reconciliation (consent–billing–payment), and a trusted, multilingual, practice-branded channel.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Go-to-market: channel-first, beside-then-inside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Direct field sales kill the model — at realistic acquisition costs the plan barely breaks even, so low CAC is a requirement, not an assumption. Three mechanisms deliver it: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(1) PMS channel partnerships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we are the vendors’ ally, not their rival: every artefact we create is written back into their record, we never lodge claims, and we never touch clinical data;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(2) the free onboarding retrospective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a twelve-month reconciliation that arrives with found money instead of a pitch;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(3) beside-then-inside sequencing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agent services (follow-up calls, the free s 65C form tester, campaigns) deliver value before any integration exists, Heidi-style; the compliance record then lands inside the PMS where the law requires it to live.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The suite position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PMS vendors resent the engagement layer that sits on their installed base and rents their customers back to them. Our suite is built to be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their alternative to 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, which is the strongest sweetener for the channel deals above: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Check-in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native from day one: the consent tablet is the check-in surface; intake follows.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Dashboards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answer-shaped from day one: reconciliation, campaign outcomes and notice compliance, not generic BI.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Bookings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write capability arrives as agent plumbing (DNA rebooking, recall-to-booked); a patient-facing front end follows later, offered white-label to PMS vendors.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scribe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partner now (clinician-side hook, none of the clinical risk); build the administrative scribe ourselves (verbal-assignment evidence, call records — squarely our lane); bundle a clinical scribe cheaply once the category finishes commoditising.</w:t>
      </w: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Governing rule: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absorb a neighbour’s job when the agent needs it to close an outcome; absorb a neighbour’s product only when it deepens a PMS partnership; never absorb for completeness.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The plan and its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750"/>
        <w:gridCol w:w="2850"/>
        <w:gridCol w:w="3110"/>
      </w:tblGrid>
      <w:tr>
        <w:tc>
          <w:tcPr>
            <w:tcW w:type="dxa" w:w="1650"/>
            <w:shd w:fill="0B3C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750"/>
            <w:shd w:fill="0B3C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50"/>
            <w:shd w:fill="0B3C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3110"/>
            <w:shd w:fill="0B3C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Gate to proceed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0 · Prove the wedge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Now – Jun 2027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Medtech write-back; AoB core GA before the verbal cliff; instrument everything</w:t>
            </w:r>
          </w:p>
        </w:tc>
        <w:tc>
          <w:tcPr>
            <w:tcW w:type="dxa" w:w="3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Write-back live; 50+ paying practices; ≥75% in-practice capture</w:t>
            </w:r>
          </w:p>
        </w:tc>
      </w:tr>
      <w:tr>
        <w:tc>
          <w:tcPr>
            <w:tcW w:type="dxa" w:w="165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 · Own the record</w:t>
            </w:r>
          </w:p>
        </w:tc>
        <w:tc>
          <w:tcPr>
            <w:tcW w:type="dxa" w:w="175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FY28</w:t>
            </w:r>
          </w:p>
        </w:tc>
        <w:tc>
          <w:tcPr>
            <w:tcW w:type="dxa" w:w="285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Enduring agreements + notice engine; first PMS channel deal; managed follow-up live; scribe partnership</w:t>
            </w:r>
          </w:p>
        </w:tc>
        <w:tc>
          <w:tcPr>
            <w:tcW w:type="dxa" w:w="311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Blended CAC ≤ ~$1,000; AI resolves ≥60% of contacts; churn &lt;10%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 · Second scheme + agent beta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FY29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NDIS on the shared engine; admin-agent beta at 20–30 practices; booking-write plumbing</w:t>
            </w:r>
          </w:p>
        </w:tc>
        <w:tc>
          <w:tcPr>
            <w:tcW w:type="dxa" w:w="3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Agent closes ≥70% of admin contacts end-to-end (the Series A gate)</w:t>
            </w:r>
          </w:p>
        </w:tc>
      </w:tr>
      <w:tr>
        <w:tc>
          <w:tcPr>
            <w:tcW w:type="dxa" w:w="165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 · Agent becomes the product</w:t>
            </w:r>
          </w:p>
        </w:tc>
        <w:tc>
          <w:tcPr>
            <w:tcW w:type="dxa" w:w="175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FY30–31</w:t>
            </w:r>
          </w:p>
        </w:tc>
        <w:tc>
          <w:tcPr>
            <w:tcW w:type="dxa" w:w="285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Agent GA; ARPU toward $30k+; white-label engagement suite to PMS vendors; rail widens</w:t>
            </w:r>
          </w:p>
        </w:tc>
        <w:tc>
          <w:tcPr>
            <w:tcW w:type="dxa" w:w="3110"/>
            <w:shd w:fill="EEF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$15m+ ARR with agent revenue fastest-growing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 · Shape decision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FY32–33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International with the agent (NZ via Medtech); authority-graph pilot only from strength</w:t>
            </w:r>
          </w:p>
        </w:tc>
        <w:tc>
          <w:tcPr>
            <w:tcW w:type="dxa" w:w="3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Or the explicit fallback: profitable rail, strategic exit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B3C49"/>
          <w:sz w:val="24"/>
          <w:szCs w:val="24"/>
        </w:rPr>
        <w:t xml:space="preserve">The financial shape, honestly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core plan raises ~$6.5m, turns cash-flow positive in FY30, repays its burn during FY32, and reaches ~$17m revenue in FY31 at ~77% gross margin. Its ceiling — $38–52m ARR at 100% of the Australian AoB market — is real and is exactly why the strategy does not stop there: the agent multiplies revenue per practice roughly five-fold against a $650m+ Australian administrative-labour pool, and the rail roughly triples the addressable schemes. If the Phase 2 gate fails, the fallback is stated in advance: a profitable $20–30m compliance business with a $100–250m strategic exit path (PMS vendors, payment rails, health insurers). The upside is pursued only with the profitable core’s money — never instead of it.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A6B72"/>
          <w:sz w:val="17"/>
          <w:szCs w:val="17"/>
        </w:rPr>
        <w:t xml:space="preserve">Sources and detail: aob-unicorn-paths.md, aob-pms-functions.md, aob-model-verification.md, AoBPlatform-Cash-Model.xlsx — all in the project.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2026-08-20T07:55:12.897Z</dcterms:created>
  <dcterms:modified xsi:type="dcterms:W3CDTF">2026-08-20T07:55:12.898Z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