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- </w:t>
      </w:r>
      <w:r w:rsidRPr="00341E89">
        <w:rPr>
          <w:rFonts w:ascii="Arial" w:hAnsi="Arial" w:cs="Arial"/>
          <w:b/>
          <w:sz w:val="24"/>
          <w:szCs w:val="24"/>
        </w:rPr>
        <w:t>https://carlieb889.github.io/CarlieBWorks/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  <w:bookmarkStart w:id="0" w:name="_GoBack"/>
      <w:bookmarkEnd w:id="0"/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Leads a team of 5 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from beginning to end, Preparing Contracts and managing all transaction documents between parties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Brand and Legal compliance across various platforms and 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P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sectPr w:rsidR="00CE6B41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341E89"/>
    <w:rsid w:val="00554096"/>
    <w:rsid w:val="0099200D"/>
    <w:rsid w:val="00C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BBFF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2</cp:revision>
  <dcterms:created xsi:type="dcterms:W3CDTF">2022-01-18T21:55:00Z</dcterms:created>
  <dcterms:modified xsi:type="dcterms:W3CDTF">2022-01-18T22:33:00Z</dcterms:modified>
</cp:coreProperties>
</file>