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E93A9A" w14:textId="35EE5FD0" w:rsidR="002F371A" w:rsidRPr="000509B1" w:rsidRDefault="00DD3A8C" w:rsidP="002F371A">
      <w:pPr>
        <w:spacing w:after="240"/>
        <w:jc w:val="center"/>
        <w:rPr>
          <w:rFonts w:ascii="Gill Sans Light" w:hAnsi="Gill Sans Light" w:cs="Gill Sans Light"/>
          <w:i/>
          <w:iCs/>
          <w:sz w:val="24"/>
        </w:rPr>
      </w:pPr>
      <w:r>
        <w:rPr>
          <w:i/>
          <w:iCs/>
          <w:noProof/>
          <w:color w:val="FFFFFF" w:themeColor="background1"/>
          <w:sz w:val="24"/>
        </w:rPr>
        <mc:AlternateContent>
          <mc:Choice Requires="wps">
            <w:drawing>
              <wp:anchor distT="0" distB="0" distL="114300" distR="114300" simplePos="0" relativeHeight="251659264" behindDoc="0" locked="0" layoutInCell="1" allowOverlap="1" wp14:anchorId="52653CB2" wp14:editId="04B757DB">
                <wp:simplePos x="0" y="0"/>
                <wp:positionH relativeFrom="column">
                  <wp:posOffset>4953000</wp:posOffset>
                </wp:positionH>
                <wp:positionV relativeFrom="paragraph">
                  <wp:posOffset>-152188</wp:posOffset>
                </wp:positionV>
                <wp:extent cx="1727200" cy="423122"/>
                <wp:effectExtent l="0" t="0" r="0" b="0"/>
                <wp:wrapNone/>
                <wp:docPr id="1969453725" name="Text Box 1"/>
                <wp:cNvGraphicFramePr/>
                <a:graphic xmlns:a="http://schemas.openxmlformats.org/drawingml/2006/main">
                  <a:graphicData uri="http://schemas.microsoft.com/office/word/2010/wordprocessingShape">
                    <wps:wsp>
                      <wps:cNvSpPr txBox="1"/>
                      <wps:spPr>
                        <a:xfrm>
                          <a:off x="0" y="0"/>
                          <a:ext cx="1727200" cy="423122"/>
                        </a:xfrm>
                        <a:prstGeom prst="rect">
                          <a:avLst/>
                        </a:prstGeom>
                        <a:noFill/>
                        <a:ln w="6350">
                          <a:noFill/>
                        </a:ln>
                      </wps:spPr>
                      <wps:txbx>
                        <w:txbxContent>
                          <w:p w14:paraId="57D1E297" w14:textId="07C1435D" w:rsidR="00DD3A8C" w:rsidRPr="00B50F88" w:rsidRDefault="00DD3A8C" w:rsidP="00B50F88">
                            <w:pPr>
                              <w:spacing w:line="100" w:lineRule="atLeast"/>
                              <w:jc w:val="right"/>
                              <w:rPr>
                                <w:color w:val="A6A6A6" w:themeColor="background1" w:themeShade="A6"/>
                                <w:sz w:val="20"/>
                                <w:szCs w:val="20"/>
                              </w:rPr>
                            </w:pPr>
                            <w:r w:rsidRPr="00B50F88">
                              <w:rPr>
                                <w:rFonts w:ascii="Gill Sans Light" w:hAnsi="Gill Sans Light" w:cs="Gill Sans Light" w:hint="cs"/>
                                <w:i/>
                                <w:iCs/>
                                <w:color w:val="A6A6A6" w:themeColor="background1" w:themeShade="A6"/>
                                <w:sz w:val="20"/>
                                <w:szCs w:val="20"/>
                              </w:rPr>
                              <w:t>by Carlisle Rainey</w:t>
                            </w:r>
                            <w:r w:rsidR="00B50F88" w:rsidRPr="00B50F88">
                              <w:rPr>
                                <w:rFonts w:ascii="Gill Sans Light" w:hAnsi="Gill Sans Light" w:cs="Gill Sans Light"/>
                                <w:i/>
                                <w:iCs/>
                                <w:color w:val="A6A6A6" w:themeColor="background1" w:themeShade="A6"/>
                                <w:sz w:val="20"/>
                                <w:szCs w:val="20"/>
                              </w:rPr>
                              <w:br/>
                            </w:r>
                            <w:r w:rsidR="00B50F88" w:rsidRPr="00B50F88">
                              <w:rPr>
                                <w:rFonts w:ascii="Gill Sans Light" w:hAnsi="Gill Sans Light" w:cs="Gill Sans Light"/>
                                <w:i/>
                                <w:iCs/>
                                <w:color w:val="A6A6A6" w:themeColor="background1" w:themeShade="A6"/>
                                <w:sz w:val="16"/>
                                <w:szCs w:val="16"/>
                              </w:rPr>
                              <w:t xml:space="preserve">based on </w:t>
                            </w:r>
                            <w:hyperlink r:id="rId6" w:history="1">
                              <w:r w:rsidR="00B50F88" w:rsidRPr="00B50F88">
                                <w:rPr>
                                  <w:rStyle w:val="Hyperlink"/>
                                  <w:rFonts w:ascii="Gill Sans Light" w:hAnsi="Gill Sans Light" w:cs="Gill Sans Light"/>
                                  <w:i/>
                                  <w:iCs/>
                                  <w:color w:val="A6A6A6" w:themeColor="background1" w:themeShade="A6"/>
                                  <w:sz w:val="16"/>
                                  <w:szCs w:val="16"/>
                                </w:rPr>
                                <w:t>Rainey (2025)</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653CB2" id="_x0000_t202" coordsize="21600,21600" o:spt="202" path="m,l,21600r21600,l21600,xe">
                <v:stroke joinstyle="miter"/>
                <v:path gradientshapeok="t" o:connecttype="rect"/>
              </v:shapetype>
              <v:shape id="Text Box 1" o:spid="_x0000_s1026" type="#_x0000_t202" style="position:absolute;left:0;text-align:left;margin-left:390pt;margin-top:-12pt;width:136pt;height:3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" filled="f" stroked="f" strokeweight=".5pt">
                <v:textbox>
                  <w:txbxContent>
                    <w:p w14:paraId="57D1E297" w14:textId="07C1435D" w:rsidR="00DD3A8C" w:rsidRPr="00B50F88" w:rsidRDefault="00DD3A8C" w:rsidP="00B50F88">
                      <w:pPr>
                        <w:spacing w:line="100" w:lineRule="atLeast"/>
                        <w:jc w:val="right"/>
                        <w:rPr>
                          <w:color w:val="A6A6A6" w:themeColor="background1" w:themeShade="A6"/>
                          <w:sz w:val="20"/>
                          <w:szCs w:val="20"/>
                        </w:rPr>
                      </w:pPr>
                      <w:r w:rsidRPr="00B50F88">
                        <w:rPr>
                          <w:rFonts w:ascii="Gill Sans Light" w:hAnsi="Gill Sans Light" w:cs="Gill Sans Light" w:hint="cs"/>
                          <w:i/>
                          <w:iCs/>
                          <w:color w:val="A6A6A6" w:themeColor="background1" w:themeShade="A6"/>
                          <w:sz w:val="20"/>
                          <w:szCs w:val="20"/>
                        </w:rPr>
                        <w:t>by Carlisle Rainey</w:t>
                      </w:r>
                      <w:r w:rsidR="00B50F88" w:rsidRPr="00B50F88">
                        <w:rPr>
                          <w:rFonts w:ascii="Gill Sans Light" w:hAnsi="Gill Sans Light" w:cs="Gill Sans Light"/>
                          <w:i/>
                          <w:iCs/>
                          <w:color w:val="A6A6A6" w:themeColor="background1" w:themeShade="A6"/>
                          <w:sz w:val="20"/>
                          <w:szCs w:val="20"/>
                        </w:rPr>
                        <w:br/>
                      </w:r>
                      <w:r w:rsidR="00B50F88" w:rsidRPr="00B50F88">
                        <w:rPr>
                          <w:rFonts w:ascii="Gill Sans Light" w:hAnsi="Gill Sans Light" w:cs="Gill Sans Light"/>
                          <w:i/>
                          <w:iCs/>
                          <w:color w:val="A6A6A6" w:themeColor="background1" w:themeShade="A6"/>
                          <w:sz w:val="16"/>
                          <w:szCs w:val="16"/>
                        </w:rPr>
                        <w:t xml:space="preserve">based on </w:t>
                      </w:r>
                      <w:hyperlink r:id="rId7" w:history="1">
                        <w:r w:rsidR="00B50F88" w:rsidRPr="00B50F88">
                          <w:rPr>
                            <w:rStyle w:val="Hyperlink"/>
                            <w:rFonts w:ascii="Gill Sans Light" w:hAnsi="Gill Sans Light" w:cs="Gill Sans Light"/>
                            <w:i/>
                            <w:iCs/>
                            <w:color w:val="A6A6A6" w:themeColor="background1" w:themeShade="A6"/>
                            <w:sz w:val="16"/>
                            <w:szCs w:val="16"/>
                          </w:rPr>
                          <w:t>Rainey (2025)</w:t>
                        </w:r>
                      </w:hyperlink>
                    </w:p>
                  </w:txbxContent>
                </v:textbox>
              </v:shape>
            </w:pict>
          </mc:Fallback>
        </mc:AlternateContent>
      </w:r>
      <w:r w:rsidR="006A5293" w:rsidRPr="00DD3A8C">
        <w:rPr>
          <w:i/>
          <w:iCs/>
          <w:color w:val="A6A6A6" w:themeColor="background1" w:themeShade="A6"/>
          <w:sz w:val="24"/>
        </w:rPr>
        <w:t>A One-Page</w:t>
      </w:r>
      <w:r w:rsidR="003B1CC2">
        <w:rPr>
          <w:i/>
          <w:iCs/>
          <w:color w:val="A6A6A6" w:themeColor="background1" w:themeShade="A6"/>
          <w:sz w:val="24"/>
        </w:rPr>
        <w:t xml:space="preserve"> Primer</w:t>
      </w:r>
      <w:r w:rsidR="006A5293" w:rsidRPr="00DD3A8C">
        <w:rPr>
          <w:i/>
          <w:iCs/>
          <w:color w:val="A6A6A6" w:themeColor="background1" w:themeShade="A6"/>
          <w:sz w:val="24"/>
        </w:rPr>
        <w:t xml:space="preserve"> on</w:t>
      </w:r>
      <w:r w:rsidR="006A5293" w:rsidRPr="00DD3A8C">
        <w:rPr>
          <w:b/>
          <w:bCs/>
          <w:color w:val="A6A6A6" w:themeColor="background1" w:themeShade="A6"/>
          <w:sz w:val="24"/>
        </w:rPr>
        <w:t xml:space="preserve"> </w:t>
      </w:r>
      <w:r w:rsidR="006A5293" w:rsidRPr="000509B1">
        <w:rPr>
          <w:b/>
          <w:bCs/>
          <w:sz w:val="24"/>
        </w:rPr>
        <w:t>Statistical Power</w:t>
      </w:r>
    </w:p>
    <w:p w14:paraId="3C3E3AAE" w14:textId="3A5DF011" w:rsidR="002F371A" w:rsidRPr="000509B1" w:rsidRDefault="002F371A" w:rsidP="002F371A">
      <w:pPr>
        <w:jc w:val="center"/>
        <w:rPr>
          <w:sz w:val="20"/>
          <w:szCs w:val="20"/>
        </w:rPr>
        <w:sectPr w:rsidR="002F371A" w:rsidRPr="000509B1" w:rsidSect="002F371A">
          <w:pgSz w:w="11906" w:h="16838"/>
          <w:pgMar w:top="720" w:right="720" w:bottom="720" w:left="720" w:header="720" w:footer="720" w:gutter="0"/>
          <w:cols w:space="720"/>
          <w:docGrid w:linePitch="360"/>
        </w:sectPr>
      </w:pPr>
    </w:p>
    <w:p w14:paraId="2FB07CFD" w14:textId="2E6A1A21" w:rsidR="000509B1" w:rsidRPr="00DD3A8C" w:rsidRDefault="00DD3A8C" w:rsidP="000509B1">
      <w:pPr>
        <w:pStyle w:val="Heading1"/>
        <w:rPr>
          <w:rFonts w:ascii="Gill Sans Light" w:hAnsi="Gill Sans Light" w:cs="Gill Sans Light"/>
          <w:b w:val="0"/>
          <w:bCs w:val="0"/>
          <w:i/>
          <w:iCs/>
          <w:color w:val="auto"/>
          <w:sz w:val="16"/>
          <w:szCs w:val="16"/>
        </w:rPr>
      </w:pPr>
      <w:r>
        <w:rPr>
          <w:rFonts w:ascii="Gill Sans Light" w:hAnsi="Gill Sans Light" w:cs="Gill Sans Light"/>
          <w:b w:val="0"/>
          <w:bCs w:val="0"/>
          <w:i/>
          <w:iCs/>
          <w:color w:val="auto"/>
          <w:sz w:val="16"/>
          <w:szCs w:val="16"/>
        </w:rPr>
        <w:t>“</w:t>
      </w:r>
      <w:r w:rsidR="000509B1" w:rsidRPr="00DD3A8C">
        <w:rPr>
          <w:rFonts w:ascii="Gill Sans Light" w:hAnsi="Gill Sans Light" w:cs="Gill Sans Light" w:hint="cs"/>
          <w:b w:val="0"/>
          <w:bCs w:val="0"/>
          <w:i/>
          <w:iCs/>
          <w:color w:val="auto"/>
          <w:sz w:val="16"/>
          <w:szCs w:val="16"/>
        </w:rPr>
        <w:t xml:space="preserve">Of course, investigators could not have known how underpowered their research was, as their training had not prepared them to know anything about power, let alone how to use it in research planning. One might think that after 1969, when I published my power handbook that made power analysis as easy as falling off a log, the concepts and methods of power analysis would be taken to the hearts of null hypothesis testers. </w:t>
      </w:r>
      <w:proofErr w:type="gramStart"/>
      <w:r w:rsidR="000509B1" w:rsidRPr="00DD3A8C">
        <w:rPr>
          <w:rFonts w:ascii="Gill Sans Light" w:hAnsi="Gill Sans Light" w:cs="Gill Sans Light" w:hint="cs"/>
          <w:b w:val="0"/>
          <w:bCs w:val="0"/>
          <w:i/>
          <w:iCs/>
          <w:color w:val="auto"/>
          <w:sz w:val="16"/>
          <w:szCs w:val="16"/>
        </w:rPr>
        <w:t>So</w:t>
      </w:r>
      <w:proofErr w:type="gramEnd"/>
      <w:r w:rsidR="000509B1" w:rsidRPr="00DD3A8C">
        <w:rPr>
          <w:rFonts w:ascii="Gill Sans Light" w:hAnsi="Gill Sans Light" w:cs="Gill Sans Light" w:hint="cs"/>
          <w:b w:val="0"/>
          <w:bCs w:val="0"/>
          <w:i/>
          <w:iCs/>
          <w:color w:val="auto"/>
          <w:sz w:val="16"/>
          <w:szCs w:val="16"/>
        </w:rPr>
        <w:t xml:space="preserve"> one might think. (Stay tuned.)</w:t>
      </w:r>
      <w:r>
        <w:rPr>
          <w:rFonts w:ascii="Gill Sans Light" w:hAnsi="Gill Sans Light" w:cs="Gill Sans Light"/>
          <w:b w:val="0"/>
          <w:bCs w:val="0"/>
          <w:i/>
          <w:iCs/>
          <w:color w:val="auto"/>
          <w:sz w:val="16"/>
          <w:szCs w:val="16"/>
        </w:rPr>
        <w:t>”</w:t>
      </w:r>
      <w:r w:rsidR="000509B1" w:rsidRPr="00DD3A8C">
        <w:rPr>
          <w:rFonts w:ascii="Gill Sans Light" w:hAnsi="Gill Sans Light" w:cs="Gill Sans Light"/>
          <w:b w:val="0"/>
          <w:bCs w:val="0"/>
          <w:i/>
          <w:iCs/>
          <w:color w:val="auto"/>
          <w:sz w:val="16"/>
          <w:szCs w:val="16"/>
        </w:rPr>
        <w:t xml:space="preserve"> </w:t>
      </w:r>
      <w:r w:rsidRPr="00DD3A8C">
        <w:rPr>
          <w:rFonts w:ascii="Gill Sans Light" w:hAnsi="Gill Sans Light" w:cs="Gill Sans Light"/>
          <w:b w:val="0"/>
          <w:bCs w:val="0"/>
          <w:i/>
          <w:iCs/>
          <w:color w:val="auto"/>
          <w:sz w:val="16"/>
          <w:szCs w:val="16"/>
        </w:rPr>
        <w:t>–</w:t>
      </w:r>
      <w:r w:rsidR="000509B1" w:rsidRPr="00DD3A8C">
        <w:rPr>
          <w:rFonts w:ascii="Gill Sans Light" w:hAnsi="Gill Sans Light" w:cs="Gill Sans Light"/>
          <w:b w:val="0"/>
          <w:bCs w:val="0"/>
          <w:i/>
          <w:iCs/>
          <w:color w:val="auto"/>
          <w:sz w:val="16"/>
          <w:szCs w:val="16"/>
        </w:rPr>
        <w:t xml:space="preserve"> </w:t>
      </w:r>
      <w:hyperlink r:id="rId8" w:history="1">
        <w:r w:rsidR="000509B1" w:rsidRPr="00793109">
          <w:rPr>
            <w:rStyle w:val="Hyperlink"/>
            <w:rFonts w:ascii="Gill Sans Light" w:hAnsi="Gill Sans Light" w:cs="Gill Sans Light"/>
            <w:b w:val="0"/>
            <w:bCs w:val="0"/>
            <w:i/>
            <w:iCs/>
            <w:sz w:val="16"/>
            <w:szCs w:val="16"/>
          </w:rPr>
          <w:t>Cohen</w:t>
        </w:r>
        <w:r w:rsidRPr="00793109">
          <w:rPr>
            <w:rStyle w:val="Hyperlink"/>
            <w:rFonts w:ascii="Gill Sans Light" w:hAnsi="Gill Sans Light" w:cs="Gill Sans Light"/>
            <w:b w:val="0"/>
            <w:bCs w:val="0"/>
            <w:i/>
            <w:iCs/>
            <w:sz w:val="16"/>
            <w:szCs w:val="16"/>
          </w:rPr>
          <w:t xml:space="preserve"> (1990)</w:t>
        </w:r>
      </w:hyperlink>
    </w:p>
    <w:p w14:paraId="1ECF5DAB" w14:textId="33F6872C" w:rsidR="00DB1DD6" w:rsidRPr="000509B1" w:rsidRDefault="00DB1DD6" w:rsidP="006A5293">
      <w:pPr>
        <w:pStyle w:val="Heading1"/>
        <w:rPr>
          <w:sz w:val="20"/>
          <w:szCs w:val="20"/>
        </w:rPr>
      </w:pPr>
      <w:r w:rsidRPr="000509B1">
        <w:rPr>
          <w:sz w:val="20"/>
          <w:szCs w:val="20"/>
        </w:rPr>
        <w:t>What is statistical power?</w:t>
      </w:r>
    </w:p>
    <w:p w14:paraId="7501D307" w14:textId="4504872A" w:rsidR="00DB1DD6" w:rsidRPr="000509B1" w:rsidRDefault="00DB1DD6" w:rsidP="00D3471E">
      <w:pPr>
        <w:rPr>
          <w:sz w:val="20"/>
          <w:szCs w:val="20"/>
        </w:rPr>
      </w:pPr>
      <w:r w:rsidRPr="000509B1">
        <w:rPr>
          <w:b/>
          <w:bCs/>
          <w:sz w:val="20"/>
          <w:szCs w:val="20"/>
        </w:rPr>
        <w:t>Statistical power</w:t>
      </w:r>
      <w:r w:rsidRPr="000509B1">
        <w:rPr>
          <w:sz w:val="20"/>
          <w:szCs w:val="20"/>
        </w:rPr>
        <w:t xml:space="preserve"> is the chance that your data lead you to </w:t>
      </w:r>
      <w:r w:rsidRPr="000509B1">
        <w:rPr>
          <w:i/>
          <w:iCs/>
          <w:sz w:val="20"/>
          <w:szCs w:val="20"/>
        </w:rPr>
        <w:t>reject</w:t>
      </w:r>
      <w:r w:rsidRPr="000509B1">
        <w:rPr>
          <w:sz w:val="20"/>
          <w:szCs w:val="20"/>
        </w:rPr>
        <w:t xml:space="preserve"> the null hypothesis if that null hypothesis </w:t>
      </w:r>
      <w:r w:rsidRPr="000509B1">
        <w:rPr>
          <w:i/>
          <w:iCs/>
          <w:sz w:val="20"/>
          <w:szCs w:val="20"/>
        </w:rPr>
        <w:t>is incorrect</w:t>
      </w:r>
      <w:r w:rsidRPr="000509B1">
        <w:rPr>
          <w:sz w:val="20"/>
          <w:szCs w:val="20"/>
        </w:rPr>
        <w:t>.</w:t>
      </w:r>
      <w:r w:rsidR="00D3471E" w:rsidRPr="000509B1">
        <w:rPr>
          <w:sz w:val="20"/>
          <w:szCs w:val="20"/>
        </w:rPr>
        <w:t xml:space="preserve"> </w:t>
      </w:r>
      <w:r w:rsidR="0024629A" w:rsidRPr="000509B1">
        <w:rPr>
          <w:sz w:val="20"/>
          <w:szCs w:val="20"/>
        </w:rPr>
        <w:t>P</w:t>
      </w:r>
      <w:r w:rsidRPr="000509B1">
        <w:rPr>
          <w:sz w:val="20"/>
          <w:szCs w:val="20"/>
        </w:rPr>
        <w:t>ower depends on the magnitude of the effect, so you must assum</w:t>
      </w:r>
      <w:r w:rsidR="0024629A" w:rsidRPr="000509B1">
        <w:rPr>
          <w:sz w:val="20"/>
          <w:szCs w:val="20"/>
        </w:rPr>
        <w:t>e</w:t>
      </w:r>
      <w:r w:rsidRPr="000509B1">
        <w:rPr>
          <w:sz w:val="20"/>
          <w:szCs w:val="20"/>
        </w:rPr>
        <w:t xml:space="preserve"> </w:t>
      </w:r>
      <w:r w:rsidR="0024629A" w:rsidRPr="000509B1">
        <w:rPr>
          <w:sz w:val="20"/>
          <w:szCs w:val="20"/>
        </w:rPr>
        <w:t>an</w:t>
      </w:r>
      <w:r w:rsidRPr="000509B1">
        <w:rPr>
          <w:sz w:val="20"/>
          <w:szCs w:val="20"/>
        </w:rPr>
        <w:t xml:space="preserve"> effect for a power calculation</w:t>
      </w:r>
      <w:r w:rsidR="00D3471E" w:rsidRPr="000509B1">
        <w:rPr>
          <w:sz w:val="20"/>
          <w:szCs w:val="20"/>
        </w:rPr>
        <w:t>. C</w:t>
      </w:r>
      <w:r w:rsidRPr="000509B1">
        <w:rPr>
          <w:sz w:val="20"/>
          <w:szCs w:val="20"/>
        </w:rPr>
        <w:t>laims about power have the form</w:t>
      </w:r>
      <w:r w:rsidR="00D3471E" w:rsidRPr="000509B1">
        <w:rPr>
          <w:sz w:val="20"/>
          <w:szCs w:val="20"/>
        </w:rPr>
        <w:t>:</w:t>
      </w:r>
    </w:p>
    <w:p w14:paraId="6C552E05" w14:textId="765E6239" w:rsidR="00DB1DD6" w:rsidRPr="000509B1" w:rsidRDefault="0024629A" w:rsidP="0024629A">
      <w:pPr>
        <w:jc w:val="center"/>
        <w:rPr>
          <w:i/>
          <w:iCs/>
          <w:sz w:val="20"/>
          <w:szCs w:val="20"/>
        </w:rPr>
      </w:pPr>
      <w:r w:rsidRPr="000509B1">
        <w:rPr>
          <w:i/>
          <w:iCs/>
          <w:sz w:val="20"/>
          <w:szCs w:val="20"/>
        </w:rPr>
        <w:t>“</w:t>
      </w:r>
      <w:proofErr w:type="gramStart"/>
      <w:r w:rsidR="00D3471E" w:rsidRPr="000509B1">
        <w:rPr>
          <w:i/>
          <w:iCs/>
          <w:sz w:val="20"/>
          <w:szCs w:val="20"/>
        </w:rPr>
        <w:t>the</w:t>
      </w:r>
      <w:proofErr w:type="gramEnd"/>
      <w:r w:rsidR="00D3471E" w:rsidRPr="000509B1">
        <w:rPr>
          <w:i/>
          <w:iCs/>
          <w:sz w:val="20"/>
          <w:szCs w:val="20"/>
        </w:rPr>
        <w:t xml:space="preserve"> </w:t>
      </w:r>
      <w:r w:rsidR="00D2518C" w:rsidRPr="000509B1">
        <w:rPr>
          <w:i/>
          <w:iCs/>
          <w:sz w:val="20"/>
          <w:szCs w:val="20"/>
        </w:rPr>
        <w:t xml:space="preserve">experiment has </w:t>
      </w:r>
      <w:r w:rsidR="00DB1DD6" w:rsidRPr="000509B1">
        <w:rPr>
          <w:i/>
          <w:iCs/>
          <w:sz w:val="20"/>
          <w:szCs w:val="20"/>
        </w:rPr>
        <w:t>___% power to detect a</w:t>
      </w:r>
      <w:r w:rsidRPr="000509B1">
        <w:rPr>
          <w:i/>
          <w:iCs/>
          <w:sz w:val="20"/>
          <w:szCs w:val="20"/>
        </w:rPr>
        <w:t xml:space="preserve">n </w:t>
      </w:r>
      <w:r w:rsidR="00DB1DD6" w:rsidRPr="000509B1">
        <w:rPr>
          <w:i/>
          <w:iCs/>
          <w:sz w:val="20"/>
          <w:szCs w:val="20"/>
        </w:rPr>
        <w:t>effect of ___.</w:t>
      </w:r>
      <w:r w:rsidRPr="000509B1">
        <w:rPr>
          <w:i/>
          <w:iCs/>
          <w:sz w:val="20"/>
          <w:szCs w:val="20"/>
        </w:rPr>
        <w:t>”</w:t>
      </w:r>
    </w:p>
    <w:p w14:paraId="0ACC12DB" w14:textId="53292A4A" w:rsidR="00DB1DD6" w:rsidRPr="000509B1" w:rsidRDefault="00DB1DD6" w:rsidP="006A5293">
      <w:pPr>
        <w:pStyle w:val="Heading1"/>
        <w:rPr>
          <w:sz w:val="20"/>
          <w:szCs w:val="20"/>
        </w:rPr>
      </w:pPr>
      <w:r w:rsidRPr="000509B1">
        <w:rPr>
          <w:sz w:val="20"/>
          <w:szCs w:val="20"/>
        </w:rPr>
        <w:t>Why does power matter to the researcher?</w:t>
      </w:r>
    </w:p>
    <w:p w14:paraId="106F1331" w14:textId="6A446893" w:rsidR="00DB1DD6" w:rsidRPr="000509B1" w:rsidRDefault="0024629A" w:rsidP="00D3471E">
      <w:pPr>
        <w:rPr>
          <w:sz w:val="20"/>
          <w:szCs w:val="20"/>
        </w:rPr>
      </w:pPr>
      <w:r w:rsidRPr="000509B1">
        <w:rPr>
          <w:sz w:val="20"/>
          <w:szCs w:val="20"/>
        </w:rPr>
        <w:t>Y</w:t>
      </w:r>
      <w:r w:rsidR="00DB1DD6" w:rsidRPr="000509B1">
        <w:rPr>
          <w:sz w:val="20"/>
          <w:szCs w:val="20"/>
        </w:rPr>
        <w:t xml:space="preserve">ou are a clever theorist and hypothesize that </w:t>
      </w:r>
      <w:r w:rsidR="00DB1DD6" w:rsidRPr="000509B1">
        <w:rPr>
          <w:i/>
          <w:iCs/>
          <w:sz w:val="20"/>
          <w:szCs w:val="20"/>
        </w:rPr>
        <w:t>X</w:t>
      </w:r>
      <w:r w:rsidR="00DB1DD6" w:rsidRPr="000509B1">
        <w:rPr>
          <w:sz w:val="20"/>
          <w:szCs w:val="20"/>
        </w:rPr>
        <w:t xml:space="preserve"> increases </w:t>
      </w:r>
      <w:r w:rsidR="00DB1DD6" w:rsidRPr="000509B1">
        <w:rPr>
          <w:i/>
          <w:iCs/>
          <w:sz w:val="20"/>
          <w:szCs w:val="20"/>
        </w:rPr>
        <w:t>Y</w:t>
      </w:r>
      <w:r w:rsidR="00D3471E" w:rsidRPr="000509B1">
        <w:rPr>
          <w:sz w:val="20"/>
          <w:szCs w:val="20"/>
        </w:rPr>
        <w:t>; then the n</w:t>
      </w:r>
      <w:r w:rsidR="00DB1DD6" w:rsidRPr="000509B1">
        <w:rPr>
          <w:sz w:val="20"/>
          <w:szCs w:val="20"/>
        </w:rPr>
        <w:t>ull hypothesis</w:t>
      </w:r>
      <w:r w:rsidRPr="000509B1">
        <w:rPr>
          <w:sz w:val="20"/>
          <w:szCs w:val="20"/>
        </w:rPr>
        <w:t xml:space="preserve"> </w:t>
      </w:r>
      <w:r w:rsidR="00D3471E" w:rsidRPr="000509B1">
        <w:rPr>
          <w:sz w:val="20"/>
          <w:szCs w:val="20"/>
        </w:rPr>
        <w:t xml:space="preserve">is </w:t>
      </w:r>
      <w:r w:rsidRPr="000509B1">
        <w:rPr>
          <w:sz w:val="20"/>
          <w:szCs w:val="20"/>
        </w:rPr>
        <w:t>that</w:t>
      </w:r>
      <w:r w:rsidR="00DB1DD6" w:rsidRPr="000509B1">
        <w:rPr>
          <w:sz w:val="20"/>
          <w:szCs w:val="20"/>
        </w:rPr>
        <w:t xml:space="preserve"> </w:t>
      </w:r>
      <w:r w:rsidR="00DB1DD6" w:rsidRPr="000509B1">
        <w:rPr>
          <w:i/>
          <w:iCs/>
          <w:sz w:val="20"/>
          <w:szCs w:val="20"/>
        </w:rPr>
        <w:t>X</w:t>
      </w:r>
      <w:r w:rsidR="00DB1DD6" w:rsidRPr="000509B1">
        <w:rPr>
          <w:sz w:val="20"/>
          <w:szCs w:val="20"/>
        </w:rPr>
        <w:t xml:space="preserve"> does not increase </w:t>
      </w:r>
      <w:r w:rsidR="00DB1DD6" w:rsidRPr="000509B1">
        <w:rPr>
          <w:i/>
          <w:iCs/>
          <w:sz w:val="20"/>
          <w:szCs w:val="20"/>
        </w:rPr>
        <w:t>Y</w:t>
      </w:r>
      <w:r w:rsidR="00DB1DD6" w:rsidRPr="000509B1">
        <w:rPr>
          <w:sz w:val="20"/>
          <w:szCs w:val="20"/>
        </w:rPr>
        <w:t>.</w:t>
      </w:r>
      <w:r w:rsidR="00D3471E" w:rsidRPr="000509B1">
        <w:rPr>
          <w:sz w:val="20"/>
          <w:szCs w:val="20"/>
        </w:rPr>
        <w:t xml:space="preserve"> </w:t>
      </w:r>
      <w:r w:rsidR="00DB1DD6" w:rsidRPr="000509B1">
        <w:rPr>
          <w:sz w:val="20"/>
          <w:szCs w:val="20"/>
        </w:rPr>
        <w:t xml:space="preserve">You design an experiment and statistical test. You </w:t>
      </w:r>
      <w:r w:rsidRPr="000509B1">
        <w:rPr>
          <w:sz w:val="20"/>
          <w:szCs w:val="20"/>
        </w:rPr>
        <w:t xml:space="preserve">plan to </w:t>
      </w:r>
      <w:r w:rsidR="00DB1DD6" w:rsidRPr="000509B1">
        <w:rPr>
          <w:sz w:val="20"/>
          <w:szCs w:val="20"/>
        </w:rPr>
        <w:t>reject the null hypothesis if the p-value is less than 0.05.</w:t>
      </w:r>
      <w:r w:rsidR="00D3471E" w:rsidRPr="000509B1">
        <w:rPr>
          <w:sz w:val="20"/>
          <w:szCs w:val="20"/>
        </w:rPr>
        <w:t xml:space="preserve"> </w:t>
      </w:r>
      <w:r w:rsidR="00DB1DD6" w:rsidRPr="000509B1">
        <w:rPr>
          <w:sz w:val="20"/>
          <w:szCs w:val="20"/>
        </w:rPr>
        <w:t xml:space="preserve">Two types of errors can occur. </w:t>
      </w:r>
    </w:p>
    <w:p w14:paraId="5DF08F36" w14:textId="40F26158" w:rsidR="00DB1DD6" w:rsidRPr="000509B1" w:rsidRDefault="0024629A" w:rsidP="00204321">
      <w:pPr>
        <w:pStyle w:val="ListParagraph"/>
        <w:numPr>
          <w:ilvl w:val="0"/>
          <w:numId w:val="8"/>
        </w:numPr>
        <w:rPr>
          <w:b/>
          <w:bCs/>
          <w:sz w:val="20"/>
          <w:szCs w:val="20"/>
        </w:rPr>
      </w:pPr>
      <w:r w:rsidRPr="000509B1">
        <w:rPr>
          <w:i/>
          <w:iCs/>
          <w:sz w:val="20"/>
          <w:szCs w:val="20"/>
        </w:rPr>
        <w:t>Type I</w:t>
      </w:r>
      <w:r w:rsidRPr="000509B1">
        <w:rPr>
          <w:sz w:val="20"/>
          <w:szCs w:val="20"/>
        </w:rPr>
        <w:t xml:space="preserve">: </w:t>
      </w:r>
      <w:r w:rsidR="00DB1DD6" w:rsidRPr="000509B1">
        <w:rPr>
          <w:sz w:val="20"/>
          <w:szCs w:val="20"/>
        </w:rPr>
        <w:t>First, you might incorrectly reject the null hypothesis. That is, the null is true, but you</w:t>
      </w:r>
      <w:r w:rsidRPr="000509B1">
        <w:rPr>
          <w:sz w:val="20"/>
          <w:szCs w:val="20"/>
        </w:rPr>
        <w:t>r p-value is less than 0.05</w:t>
      </w:r>
      <w:r w:rsidR="00DB1DD6" w:rsidRPr="000509B1">
        <w:rPr>
          <w:sz w:val="20"/>
          <w:szCs w:val="20"/>
        </w:rPr>
        <w:t xml:space="preserve"> and </w:t>
      </w:r>
      <w:r w:rsidRPr="000509B1">
        <w:rPr>
          <w:sz w:val="20"/>
          <w:szCs w:val="20"/>
        </w:rPr>
        <w:t xml:space="preserve">you </w:t>
      </w:r>
      <w:r w:rsidR="00DB1DD6" w:rsidRPr="000509B1">
        <w:rPr>
          <w:sz w:val="20"/>
          <w:szCs w:val="20"/>
        </w:rPr>
        <w:t xml:space="preserve">reject it. </w:t>
      </w:r>
    </w:p>
    <w:p w14:paraId="59AB32CB" w14:textId="2CFA0F5C" w:rsidR="00DB1DD6" w:rsidRPr="000509B1" w:rsidRDefault="0024629A" w:rsidP="00204321">
      <w:pPr>
        <w:pStyle w:val="ListParagraph"/>
        <w:numPr>
          <w:ilvl w:val="0"/>
          <w:numId w:val="8"/>
        </w:numPr>
        <w:rPr>
          <w:b/>
          <w:bCs/>
          <w:sz w:val="20"/>
          <w:szCs w:val="20"/>
        </w:rPr>
      </w:pPr>
      <w:r w:rsidRPr="000509B1">
        <w:rPr>
          <w:i/>
          <w:iCs/>
          <w:sz w:val="20"/>
          <w:szCs w:val="20"/>
        </w:rPr>
        <w:t>Type II</w:t>
      </w:r>
      <w:r w:rsidRPr="000509B1">
        <w:rPr>
          <w:sz w:val="20"/>
          <w:szCs w:val="20"/>
        </w:rPr>
        <w:t xml:space="preserve">: </w:t>
      </w:r>
      <w:r w:rsidR="00DB1DD6" w:rsidRPr="000509B1">
        <w:rPr>
          <w:sz w:val="20"/>
          <w:szCs w:val="20"/>
        </w:rPr>
        <w:t xml:space="preserve">Second, you might </w:t>
      </w:r>
      <w:r w:rsidRPr="000509B1">
        <w:rPr>
          <w:sz w:val="20"/>
          <w:szCs w:val="20"/>
        </w:rPr>
        <w:t xml:space="preserve">incorrectly </w:t>
      </w:r>
      <w:r w:rsidR="00DB1DD6" w:rsidRPr="000509B1">
        <w:rPr>
          <w:sz w:val="20"/>
          <w:szCs w:val="20"/>
        </w:rPr>
        <w:t xml:space="preserve">fail to reject </w:t>
      </w:r>
      <w:r w:rsidR="00BD256B">
        <w:rPr>
          <w:sz w:val="20"/>
          <w:szCs w:val="20"/>
        </w:rPr>
        <w:t>the</w:t>
      </w:r>
      <w:r w:rsidR="00DB1DD6" w:rsidRPr="000509B1">
        <w:rPr>
          <w:sz w:val="20"/>
          <w:szCs w:val="20"/>
        </w:rPr>
        <w:t xml:space="preserve"> null hypothesis. That is, the null is false (i.e., the research hypothesis is </w:t>
      </w:r>
      <w:r w:rsidR="00C33A30" w:rsidRPr="000509B1">
        <w:rPr>
          <w:sz w:val="20"/>
          <w:szCs w:val="20"/>
        </w:rPr>
        <w:t>correct</w:t>
      </w:r>
      <w:r w:rsidR="00DB1DD6" w:rsidRPr="000509B1">
        <w:rPr>
          <w:sz w:val="20"/>
          <w:szCs w:val="20"/>
        </w:rPr>
        <w:t>), but you</w:t>
      </w:r>
      <w:r w:rsidR="00C33A30" w:rsidRPr="000509B1">
        <w:rPr>
          <w:sz w:val="20"/>
          <w:szCs w:val="20"/>
        </w:rPr>
        <w:t>r p-value is greater than 0.05</w:t>
      </w:r>
      <w:r w:rsidR="00DB1DD6" w:rsidRPr="000509B1">
        <w:rPr>
          <w:sz w:val="20"/>
          <w:szCs w:val="20"/>
        </w:rPr>
        <w:t xml:space="preserve"> </w:t>
      </w:r>
      <w:r w:rsidR="00C33A30" w:rsidRPr="000509B1">
        <w:rPr>
          <w:sz w:val="20"/>
          <w:szCs w:val="20"/>
        </w:rPr>
        <w:t xml:space="preserve">and you do not reject </w:t>
      </w:r>
      <w:r w:rsidR="00D3471E" w:rsidRPr="000509B1">
        <w:rPr>
          <w:sz w:val="20"/>
          <w:szCs w:val="20"/>
        </w:rPr>
        <w:t>the null</w:t>
      </w:r>
      <w:r w:rsidR="00DB1DD6" w:rsidRPr="000509B1">
        <w:rPr>
          <w:sz w:val="20"/>
          <w:szCs w:val="20"/>
        </w:rPr>
        <w:t>.</w:t>
      </w:r>
    </w:p>
    <w:p w14:paraId="26EE67E7" w14:textId="0C38BA98" w:rsidR="00264812" w:rsidRPr="000509B1" w:rsidRDefault="00D3471E" w:rsidP="00C33A30">
      <w:pPr>
        <w:rPr>
          <w:sz w:val="20"/>
          <w:szCs w:val="20"/>
        </w:rPr>
      </w:pPr>
      <w:r w:rsidRPr="000509B1">
        <w:rPr>
          <w:sz w:val="20"/>
          <w:szCs w:val="20"/>
        </w:rPr>
        <w:t>Let’s think more on</w:t>
      </w:r>
      <w:r w:rsidR="00264812" w:rsidRPr="000509B1">
        <w:rPr>
          <w:sz w:val="20"/>
          <w:szCs w:val="20"/>
        </w:rPr>
        <w:t xml:space="preserve"> this second “error</w:t>
      </w:r>
      <w:r w:rsidRPr="000509B1">
        <w:rPr>
          <w:sz w:val="20"/>
          <w:szCs w:val="20"/>
        </w:rPr>
        <w:t>.</w:t>
      </w:r>
      <w:r w:rsidR="00264812" w:rsidRPr="000509B1">
        <w:rPr>
          <w:sz w:val="20"/>
          <w:szCs w:val="20"/>
        </w:rPr>
        <w:t xml:space="preserve">” You’ve </w:t>
      </w:r>
      <w:r w:rsidR="00C33A30" w:rsidRPr="000509B1">
        <w:rPr>
          <w:sz w:val="20"/>
          <w:szCs w:val="20"/>
        </w:rPr>
        <w:t xml:space="preserve">paid all the costs of </w:t>
      </w:r>
      <w:r w:rsidR="00264812" w:rsidRPr="000509B1">
        <w:rPr>
          <w:sz w:val="20"/>
          <w:szCs w:val="20"/>
        </w:rPr>
        <w:t>design</w:t>
      </w:r>
      <w:r w:rsidR="00C33A30" w:rsidRPr="000509B1">
        <w:rPr>
          <w:sz w:val="20"/>
          <w:szCs w:val="20"/>
        </w:rPr>
        <w:t>ing and fielding</w:t>
      </w:r>
      <w:r w:rsidR="00264812" w:rsidRPr="000509B1">
        <w:rPr>
          <w:sz w:val="20"/>
          <w:szCs w:val="20"/>
        </w:rPr>
        <w:t xml:space="preserve"> an experiment</w:t>
      </w:r>
      <w:r w:rsidR="00C33A30" w:rsidRPr="000509B1">
        <w:rPr>
          <w:sz w:val="20"/>
          <w:szCs w:val="20"/>
        </w:rPr>
        <w:t>. But in</w:t>
      </w:r>
      <w:r w:rsidR="00264812" w:rsidRPr="000509B1">
        <w:rPr>
          <w:sz w:val="20"/>
          <w:szCs w:val="20"/>
        </w:rPr>
        <w:t xml:space="preserve"> the end, you cannot distinguish between your research hypothesis and the null</w:t>
      </w:r>
      <w:r w:rsidRPr="000509B1">
        <w:rPr>
          <w:sz w:val="20"/>
          <w:szCs w:val="20"/>
        </w:rPr>
        <w:t xml:space="preserve"> hypothesis</w:t>
      </w:r>
      <w:r w:rsidR="00264812" w:rsidRPr="000509B1">
        <w:rPr>
          <w:sz w:val="20"/>
          <w:szCs w:val="20"/>
        </w:rPr>
        <w:t>.</w:t>
      </w:r>
      <w:r w:rsidRPr="000509B1">
        <w:rPr>
          <w:sz w:val="20"/>
          <w:szCs w:val="20"/>
        </w:rPr>
        <w:t xml:space="preserve"> </w:t>
      </w:r>
      <w:r w:rsidR="00264812" w:rsidRPr="000509B1">
        <w:rPr>
          <w:sz w:val="20"/>
          <w:szCs w:val="20"/>
        </w:rPr>
        <w:t xml:space="preserve">This is a </w:t>
      </w:r>
      <w:r w:rsidR="00264812" w:rsidRPr="000509B1">
        <w:rPr>
          <w:b/>
          <w:bCs/>
          <w:sz w:val="20"/>
          <w:szCs w:val="20"/>
        </w:rPr>
        <w:t>wasted opportunity</w:t>
      </w:r>
      <w:r w:rsidR="00264812" w:rsidRPr="000509B1">
        <w:rPr>
          <w:sz w:val="20"/>
          <w:szCs w:val="20"/>
        </w:rPr>
        <w:t>.</w:t>
      </w:r>
      <w:r w:rsidR="00C33A30" w:rsidRPr="000509B1">
        <w:rPr>
          <w:sz w:val="20"/>
          <w:szCs w:val="20"/>
        </w:rPr>
        <w:t xml:space="preserve"> </w:t>
      </w:r>
      <w:r w:rsidR="00264812" w:rsidRPr="000509B1">
        <w:rPr>
          <w:sz w:val="20"/>
          <w:szCs w:val="20"/>
        </w:rPr>
        <w:t xml:space="preserve">Researchers care about statistical power because they </w:t>
      </w:r>
      <w:r w:rsidRPr="000509B1">
        <w:rPr>
          <w:sz w:val="20"/>
          <w:szCs w:val="20"/>
        </w:rPr>
        <w:t>do not want to waste</w:t>
      </w:r>
      <w:r w:rsidR="00C33A30" w:rsidRPr="000509B1">
        <w:rPr>
          <w:sz w:val="20"/>
          <w:szCs w:val="20"/>
        </w:rPr>
        <w:t xml:space="preserve"> their time</w:t>
      </w:r>
      <w:r w:rsidR="00264812" w:rsidRPr="000509B1">
        <w:rPr>
          <w:sz w:val="20"/>
          <w:szCs w:val="20"/>
        </w:rPr>
        <w:t>, effort, and money.</w:t>
      </w:r>
    </w:p>
    <w:p w14:paraId="1626ECC4" w14:textId="35689821" w:rsidR="00264812" w:rsidRPr="000509B1" w:rsidRDefault="00264812" w:rsidP="006A5293">
      <w:pPr>
        <w:pStyle w:val="Heading1"/>
        <w:rPr>
          <w:sz w:val="20"/>
          <w:szCs w:val="20"/>
        </w:rPr>
      </w:pPr>
      <w:r w:rsidRPr="000509B1">
        <w:rPr>
          <w:sz w:val="20"/>
          <w:szCs w:val="20"/>
        </w:rPr>
        <w:t xml:space="preserve">Why does power matter </w:t>
      </w:r>
      <w:r w:rsidR="00BD256B">
        <w:rPr>
          <w:sz w:val="20"/>
          <w:szCs w:val="20"/>
        </w:rPr>
        <w:t xml:space="preserve">to </w:t>
      </w:r>
      <w:r w:rsidRPr="000509B1">
        <w:rPr>
          <w:sz w:val="20"/>
          <w:szCs w:val="20"/>
        </w:rPr>
        <w:t>the reader?</w:t>
      </w:r>
    </w:p>
    <w:p w14:paraId="06D35277" w14:textId="46305336" w:rsidR="00264812" w:rsidRPr="000509B1" w:rsidRDefault="00264812" w:rsidP="006A5293">
      <w:pPr>
        <w:rPr>
          <w:sz w:val="20"/>
          <w:szCs w:val="20"/>
        </w:rPr>
      </w:pPr>
      <w:r w:rsidRPr="000509B1">
        <w:rPr>
          <w:sz w:val="20"/>
          <w:szCs w:val="20"/>
        </w:rPr>
        <w:t>Wh</w:t>
      </w:r>
      <w:r w:rsidR="00C33A30" w:rsidRPr="000509B1">
        <w:rPr>
          <w:sz w:val="20"/>
          <w:szCs w:val="20"/>
        </w:rPr>
        <w:t>en reading a paper, why should you</w:t>
      </w:r>
      <w:r w:rsidRPr="000509B1">
        <w:rPr>
          <w:sz w:val="20"/>
          <w:szCs w:val="20"/>
        </w:rPr>
        <w:t xml:space="preserve"> care about power?</w:t>
      </w:r>
    </w:p>
    <w:p w14:paraId="7F4EE77B" w14:textId="21025636" w:rsidR="00C33A30" w:rsidRPr="000509B1" w:rsidRDefault="00264812" w:rsidP="00204321">
      <w:pPr>
        <w:pStyle w:val="ListParagraph"/>
        <w:numPr>
          <w:ilvl w:val="0"/>
          <w:numId w:val="6"/>
        </w:numPr>
        <w:rPr>
          <w:sz w:val="20"/>
          <w:szCs w:val="20"/>
        </w:rPr>
      </w:pPr>
      <w:r w:rsidRPr="000509B1">
        <w:rPr>
          <w:i/>
          <w:iCs/>
          <w:sz w:val="20"/>
          <w:szCs w:val="20"/>
        </w:rPr>
        <w:t>My perspective:</w:t>
      </w:r>
      <w:r w:rsidRPr="000509B1">
        <w:rPr>
          <w:sz w:val="20"/>
          <w:szCs w:val="20"/>
        </w:rPr>
        <w:t xml:space="preserve"> Power doesn’t matter </w:t>
      </w:r>
      <w:r w:rsidR="00C33A30" w:rsidRPr="000509B1">
        <w:rPr>
          <w:sz w:val="20"/>
          <w:szCs w:val="20"/>
        </w:rPr>
        <w:t>after running the experiment</w:t>
      </w:r>
      <w:r w:rsidRPr="000509B1">
        <w:rPr>
          <w:sz w:val="20"/>
          <w:szCs w:val="20"/>
        </w:rPr>
        <w:t>. All relevant information is in the confidence interval.</w:t>
      </w:r>
      <w:r w:rsidR="005B3722" w:rsidRPr="000509B1">
        <w:rPr>
          <w:sz w:val="20"/>
          <w:szCs w:val="20"/>
        </w:rPr>
        <w:t xml:space="preserve"> </w:t>
      </w:r>
      <w:r w:rsidR="000509B1" w:rsidRPr="000509B1">
        <w:rPr>
          <w:sz w:val="20"/>
          <w:szCs w:val="20"/>
        </w:rPr>
        <w:t>Caveat:</w:t>
      </w:r>
      <w:r w:rsidR="005B3722" w:rsidRPr="000509B1">
        <w:rPr>
          <w:sz w:val="20"/>
          <w:szCs w:val="20"/>
        </w:rPr>
        <w:t xml:space="preserve"> power </w:t>
      </w:r>
      <w:r w:rsidR="005B3722" w:rsidRPr="000509B1">
        <w:rPr>
          <w:i/>
          <w:iCs/>
          <w:sz w:val="20"/>
          <w:szCs w:val="20"/>
        </w:rPr>
        <w:t>does</w:t>
      </w:r>
      <w:r w:rsidR="005B3722" w:rsidRPr="000509B1">
        <w:rPr>
          <w:sz w:val="20"/>
          <w:szCs w:val="20"/>
        </w:rPr>
        <w:t xml:space="preserve"> change the meaning of “not significant,” but this information is in the CI.</w:t>
      </w:r>
      <w:r w:rsidR="00252582" w:rsidRPr="000509B1">
        <w:rPr>
          <w:sz w:val="20"/>
          <w:szCs w:val="20"/>
        </w:rPr>
        <w:t xml:space="preserve"> </w:t>
      </w:r>
    </w:p>
    <w:p w14:paraId="0C143A23" w14:textId="7BD8C130" w:rsidR="009C3EAF" w:rsidRPr="000509B1" w:rsidRDefault="009C3EAF" w:rsidP="00204321">
      <w:pPr>
        <w:pStyle w:val="ListParagraph"/>
        <w:numPr>
          <w:ilvl w:val="0"/>
          <w:numId w:val="6"/>
        </w:numPr>
        <w:rPr>
          <w:sz w:val="20"/>
          <w:szCs w:val="20"/>
        </w:rPr>
      </w:pPr>
      <w:r w:rsidRPr="000509B1">
        <w:rPr>
          <w:i/>
          <w:iCs/>
          <w:sz w:val="20"/>
          <w:szCs w:val="20"/>
        </w:rPr>
        <w:t>Others’ perspective:</w:t>
      </w:r>
      <w:r w:rsidRPr="000509B1">
        <w:rPr>
          <w:sz w:val="20"/>
          <w:szCs w:val="20"/>
        </w:rPr>
        <w:t xml:space="preserve"> Power matters greatly </w:t>
      </w:r>
      <w:r w:rsidR="00FD2E30" w:rsidRPr="000509B1">
        <w:rPr>
          <w:sz w:val="20"/>
          <w:szCs w:val="20"/>
        </w:rPr>
        <w:t>after running the experiment</w:t>
      </w:r>
      <w:r w:rsidRPr="000509B1">
        <w:rPr>
          <w:sz w:val="20"/>
          <w:szCs w:val="20"/>
        </w:rPr>
        <w:t>. Authors</w:t>
      </w:r>
      <w:r w:rsidR="00FD2E30" w:rsidRPr="000509B1">
        <w:rPr>
          <w:sz w:val="20"/>
          <w:szCs w:val="20"/>
        </w:rPr>
        <w:t xml:space="preserve"> and reviewers</w:t>
      </w:r>
      <w:r w:rsidRPr="000509B1">
        <w:rPr>
          <w:sz w:val="20"/>
          <w:szCs w:val="20"/>
        </w:rPr>
        <w:t xml:space="preserve"> </w:t>
      </w:r>
      <w:r w:rsidR="00FD2E30" w:rsidRPr="000509B1">
        <w:rPr>
          <w:sz w:val="20"/>
          <w:szCs w:val="20"/>
        </w:rPr>
        <w:t>dismiss papers without significant findings</w:t>
      </w:r>
      <w:r w:rsidRPr="000509B1">
        <w:rPr>
          <w:sz w:val="20"/>
          <w:szCs w:val="20"/>
        </w:rPr>
        <w:t>. Th</w:t>
      </w:r>
      <w:r w:rsidR="00FD2E30" w:rsidRPr="000509B1">
        <w:rPr>
          <w:sz w:val="20"/>
          <w:szCs w:val="20"/>
        </w:rPr>
        <w:t>is</w:t>
      </w:r>
      <w:r w:rsidRPr="000509B1">
        <w:rPr>
          <w:sz w:val="20"/>
          <w:szCs w:val="20"/>
        </w:rPr>
        <w:t xml:space="preserve"> significance filter combined with low power </w:t>
      </w:r>
      <w:r w:rsidR="00FD2E30" w:rsidRPr="000509B1">
        <w:rPr>
          <w:sz w:val="20"/>
          <w:szCs w:val="20"/>
        </w:rPr>
        <w:t>causes published estimates to diverge from the truth</w:t>
      </w:r>
      <w:r w:rsidRPr="000509B1">
        <w:rPr>
          <w:sz w:val="20"/>
          <w:szCs w:val="20"/>
        </w:rPr>
        <w:t>.</w:t>
      </w:r>
    </w:p>
    <w:p w14:paraId="2752442C" w14:textId="3F2761A5" w:rsidR="009C3EAF" w:rsidRPr="000509B1" w:rsidRDefault="009C3EAF" w:rsidP="00CB527D">
      <w:pPr>
        <w:pStyle w:val="Heading1"/>
        <w:rPr>
          <w:sz w:val="20"/>
          <w:szCs w:val="20"/>
        </w:rPr>
      </w:pPr>
      <w:r w:rsidRPr="000509B1">
        <w:rPr>
          <w:sz w:val="20"/>
          <w:szCs w:val="20"/>
        </w:rPr>
        <w:t>How can I compute statistical power?</w:t>
      </w:r>
    </w:p>
    <w:p w14:paraId="18894709" w14:textId="4623C3C9" w:rsidR="00B36F48" w:rsidRPr="000509B1" w:rsidRDefault="005B3722" w:rsidP="006A5293">
      <w:pPr>
        <w:rPr>
          <w:sz w:val="20"/>
          <w:szCs w:val="20"/>
        </w:rPr>
      </w:pPr>
      <w:r w:rsidRPr="000509B1">
        <w:rPr>
          <w:sz w:val="20"/>
          <w:szCs w:val="20"/>
        </w:rPr>
        <w:t>To compute statistical power, first ask: “for what effect?”</w:t>
      </w:r>
      <w:r w:rsidR="00B36F48" w:rsidRPr="000509B1">
        <w:rPr>
          <w:sz w:val="20"/>
          <w:szCs w:val="20"/>
        </w:rPr>
        <w:t xml:space="preserve"> </w:t>
      </w:r>
      <w:r w:rsidRPr="000509B1">
        <w:rPr>
          <w:sz w:val="20"/>
          <w:szCs w:val="20"/>
        </w:rPr>
        <w:t>I</w:t>
      </w:r>
      <w:r w:rsidR="006A5293" w:rsidRPr="000509B1">
        <w:rPr>
          <w:sz w:val="20"/>
          <w:szCs w:val="20"/>
        </w:rPr>
        <w:t xml:space="preserve">dentify the range of </w:t>
      </w:r>
      <w:r w:rsidRPr="000509B1">
        <w:rPr>
          <w:sz w:val="20"/>
          <w:szCs w:val="20"/>
        </w:rPr>
        <w:t>sub</w:t>
      </w:r>
      <w:r w:rsidR="006A5293" w:rsidRPr="000509B1">
        <w:rPr>
          <w:sz w:val="20"/>
          <w:szCs w:val="20"/>
        </w:rPr>
        <w:t>stantively interest</w:t>
      </w:r>
      <w:r w:rsidRPr="000509B1">
        <w:rPr>
          <w:sz w:val="20"/>
          <w:szCs w:val="20"/>
        </w:rPr>
        <w:t>ing effects and</w:t>
      </w:r>
      <w:r w:rsidR="006A5293" w:rsidRPr="000509B1">
        <w:rPr>
          <w:sz w:val="20"/>
          <w:szCs w:val="20"/>
        </w:rPr>
        <w:t xml:space="preserve"> choose the smallest </w:t>
      </w:r>
      <w:r w:rsidRPr="000509B1">
        <w:rPr>
          <w:sz w:val="20"/>
          <w:szCs w:val="20"/>
        </w:rPr>
        <w:t>effect</w:t>
      </w:r>
      <w:r w:rsidR="006A5293" w:rsidRPr="000509B1">
        <w:rPr>
          <w:sz w:val="20"/>
          <w:szCs w:val="20"/>
        </w:rPr>
        <w:t xml:space="preserve"> in this range</w:t>
      </w:r>
      <w:r w:rsidRPr="000509B1">
        <w:rPr>
          <w:sz w:val="20"/>
          <w:szCs w:val="20"/>
        </w:rPr>
        <w:t xml:space="preserve">. This is </w:t>
      </w:r>
      <w:r w:rsidR="006A5293" w:rsidRPr="000509B1">
        <w:rPr>
          <w:sz w:val="20"/>
          <w:szCs w:val="20"/>
        </w:rPr>
        <w:t>the smallest effect of substantive interest (SE</w:t>
      </w:r>
      <w:r w:rsidR="00BD256B">
        <w:rPr>
          <w:sz w:val="20"/>
          <w:szCs w:val="20"/>
        </w:rPr>
        <w:t>S</w:t>
      </w:r>
      <w:r w:rsidR="006A5293" w:rsidRPr="000509B1">
        <w:rPr>
          <w:sz w:val="20"/>
          <w:szCs w:val="20"/>
        </w:rPr>
        <w:t>OI). The experiment should be well-powered for the SESOI.</w:t>
      </w:r>
    </w:p>
    <w:p w14:paraId="35C3A81F" w14:textId="1602A9CD" w:rsidR="009C3EAF" w:rsidRPr="000509B1" w:rsidRDefault="005B3722" w:rsidP="006A5293">
      <w:pPr>
        <w:rPr>
          <w:sz w:val="20"/>
          <w:szCs w:val="20"/>
        </w:rPr>
      </w:pPr>
      <w:r w:rsidRPr="000509B1">
        <w:rPr>
          <w:sz w:val="20"/>
          <w:szCs w:val="20"/>
        </w:rPr>
        <w:t xml:space="preserve">Fancy </w:t>
      </w:r>
      <w:r w:rsidR="009C3EAF" w:rsidRPr="000509B1">
        <w:rPr>
          <w:sz w:val="20"/>
          <w:szCs w:val="20"/>
        </w:rPr>
        <w:t xml:space="preserve">software </w:t>
      </w:r>
      <w:r w:rsidRPr="000509B1">
        <w:rPr>
          <w:sz w:val="20"/>
          <w:szCs w:val="20"/>
        </w:rPr>
        <w:t>can compute power for you</w:t>
      </w:r>
      <w:r w:rsidR="009C3EAF" w:rsidRPr="000509B1">
        <w:rPr>
          <w:sz w:val="20"/>
          <w:szCs w:val="20"/>
        </w:rPr>
        <w:t xml:space="preserve">, but I like simple rules of thumb. </w:t>
      </w:r>
      <w:r w:rsidRPr="000509B1">
        <w:rPr>
          <w:sz w:val="20"/>
          <w:szCs w:val="20"/>
        </w:rPr>
        <w:t>E</w:t>
      </w:r>
      <w:r w:rsidR="009C3EAF" w:rsidRPr="000509B1">
        <w:rPr>
          <w:sz w:val="20"/>
          <w:szCs w:val="20"/>
        </w:rPr>
        <w:t xml:space="preserve">xperiments have: </w:t>
      </w:r>
    </w:p>
    <w:p w14:paraId="2EEF50FE" w14:textId="67D0CF4A" w:rsidR="00B36F48" w:rsidRPr="000509B1" w:rsidRDefault="009C3EAF" w:rsidP="006A5293">
      <w:pPr>
        <w:pStyle w:val="ListParagraph"/>
        <w:numPr>
          <w:ilvl w:val="0"/>
          <w:numId w:val="3"/>
        </w:numPr>
        <w:rPr>
          <w:sz w:val="20"/>
          <w:szCs w:val="20"/>
        </w:rPr>
      </w:pPr>
      <w:r w:rsidRPr="000509B1">
        <w:rPr>
          <w:sz w:val="20"/>
          <w:szCs w:val="20"/>
        </w:rPr>
        <w:t xml:space="preserve">80% power to detect effects that are 2.5 times the </w:t>
      </w:r>
      <w:r w:rsidR="00CB527D" w:rsidRPr="000509B1">
        <w:rPr>
          <w:sz w:val="20"/>
          <w:szCs w:val="20"/>
        </w:rPr>
        <w:t>standard error</w:t>
      </w:r>
      <w:r w:rsidR="005B3722" w:rsidRPr="000509B1">
        <w:rPr>
          <w:sz w:val="20"/>
          <w:szCs w:val="20"/>
        </w:rPr>
        <w:t>, and</w:t>
      </w:r>
    </w:p>
    <w:p w14:paraId="754E5449" w14:textId="0A7C711A" w:rsidR="00CB527D" w:rsidRPr="000509B1" w:rsidRDefault="009C3EAF" w:rsidP="00CB527D">
      <w:pPr>
        <w:pStyle w:val="ListParagraph"/>
        <w:numPr>
          <w:ilvl w:val="0"/>
          <w:numId w:val="3"/>
        </w:numPr>
        <w:rPr>
          <w:sz w:val="20"/>
          <w:szCs w:val="20"/>
        </w:rPr>
      </w:pPr>
      <w:r w:rsidRPr="000509B1">
        <w:rPr>
          <w:sz w:val="20"/>
          <w:szCs w:val="20"/>
        </w:rPr>
        <w:t xml:space="preserve">95% power to detect effects that are 3.3 times the </w:t>
      </w:r>
      <w:r w:rsidR="00CB527D" w:rsidRPr="000509B1">
        <w:rPr>
          <w:sz w:val="20"/>
          <w:szCs w:val="20"/>
        </w:rPr>
        <w:t>standard error</w:t>
      </w:r>
      <w:r w:rsidR="005B3722" w:rsidRPr="000509B1">
        <w:rPr>
          <w:sz w:val="20"/>
          <w:szCs w:val="20"/>
        </w:rPr>
        <w:t>.</w:t>
      </w:r>
    </w:p>
    <w:p w14:paraId="411CF4E9" w14:textId="5BF8058E" w:rsidR="00B36F48" w:rsidRPr="000509B1" w:rsidRDefault="00B36F48" w:rsidP="006A5293">
      <w:pPr>
        <w:rPr>
          <w:sz w:val="20"/>
          <w:szCs w:val="20"/>
        </w:rPr>
      </w:pPr>
      <w:r w:rsidRPr="000509B1">
        <w:rPr>
          <w:b/>
          <w:bCs/>
          <w:sz w:val="20"/>
          <w:szCs w:val="20"/>
        </w:rPr>
        <w:t xml:space="preserve">As a </w:t>
      </w:r>
      <w:r w:rsidR="00CB527D" w:rsidRPr="000509B1">
        <w:rPr>
          <w:b/>
          <w:bCs/>
          <w:sz w:val="20"/>
          <w:szCs w:val="20"/>
        </w:rPr>
        <w:t>reader</w:t>
      </w:r>
      <w:r w:rsidR="00CB527D" w:rsidRPr="000509B1">
        <w:rPr>
          <w:sz w:val="20"/>
          <w:szCs w:val="20"/>
        </w:rPr>
        <w:t xml:space="preserve">, you can simply multiply the reported standard errors by 2.5 and ask yourself: “is this effect substantively </w:t>
      </w:r>
      <w:r w:rsidR="00CB527D" w:rsidRPr="000509B1">
        <w:rPr>
          <w:sz w:val="20"/>
          <w:szCs w:val="20"/>
        </w:rPr>
        <w:t xml:space="preserve">small?” </w:t>
      </w:r>
      <w:r w:rsidR="005B3722" w:rsidRPr="000509B1">
        <w:rPr>
          <w:sz w:val="20"/>
          <w:szCs w:val="20"/>
        </w:rPr>
        <w:t>I</w:t>
      </w:r>
      <w:r w:rsidR="00CB527D" w:rsidRPr="000509B1">
        <w:rPr>
          <w:sz w:val="20"/>
          <w:szCs w:val="20"/>
        </w:rPr>
        <w:t xml:space="preserve">f 2.5 times the </w:t>
      </w:r>
      <w:r w:rsidR="005B3722" w:rsidRPr="000509B1">
        <w:rPr>
          <w:sz w:val="20"/>
          <w:szCs w:val="20"/>
        </w:rPr>
        <w:t>repor</w:t>
      </w:r>
      <w:r w:rsidR="00BD256B">
        <w:rPr>
          <w:sz w:val="20"/>
          <w:szCs w:val="20"/>
        </w:rPr>
        <w:t>t</w:t>
      </w:r>
      <w:r w:rsidR="005B3722" w:rsidRPr="000509B1">
        <w:rPr>
          <w:sz w:val="20"/>
          <w:szCs w:val="20"/>
        </w:rPr>
        <w:t xml:space="preserve">ed </w:t>
      </w:r>
      <w:r w:rsidR="00CB527D" w:rsidRPr="000509B1">
        <w:rPr>
          <w:sz w:val="20"/>
          <w:szCs w:val="20"/>
        </w:rPr>
        <w:t xml:space="preserve">standard error is </w:t>
      </w:r>
      <w:r w:rsidR="005B3722" w:rsidRPr="000509B1">
        <w:rPr>
          <w:sz w:val="20"/>
          <w:szCs w:val="20"/>
        </w:rPr>
        <w:t xml:space="preserve">a substantively large effect, </w:t>
      </w:r>
      <w:r w:rsidR="00CB527D" w:rsidRPr="000509B1">
        <w:rPr>
          <w:sz w:val="20"/>
          <w:szCs w:val="20"/>
        </w:rPr>
        <w:t>then the experiment is underpowered.</w:t>
      </w:r>
    </w:p>
    <w:p w14:paraId="340DF870" w14:textId="77808632" w:rsidR="00D81362" w:rsidRPr="000509B1" w:rsidRDefault="00CB527D" w:rsidP="006A5293">
      <w:pPr>
        <w:rPr>
          <w:rFonts w:eastAsiaTheme="minorEastAsia"/>
          <w:sz w:val="20"/>
          <w:szCs w:val="20"/>
        </w:rPr>
      </w:pPr>
      <w:r w:rsidRPr="000509B1">
        <w:rPr>
          <w:b/>
          <w:bCs/>
          <w:sz w:val="20"/>
          <w:szCs w:val="20"/>
        </w:rPr>
        <w:t>As a researcher</w:t>
      </w:r>
      <w:r w:rsidRPr="000509B1">
        <w:rPr>
          <w:sz w:val="20"/>
          <w:szCs w:val="20"/>
        </w:rPr>
        <w:t xml:space="preserve">, you can predict the standard error of a </w:t>
      </w:r>
      <w:r w:rsidR="005B3722" w:rsidRPr="000509B1">
        <w:rPr>
          <w:sz w:val="20"/>
          <w:szCs w:val="20"/>
        </w:rPr>
        <w:t>simple</w:t>
      </w:r>
      <w:r w:rsidR="00A01990" w:rsidRPr="000509B1">
        <w:rPr>
          <w:sz w:val="20"/>
          <w:szCs w:val="20"/>
        </w:rPr>
        <w:t xml:space="preserve"> two-group,</w:t>
      </w:r>
      <w:r w:rsidR="005B3722" w:rsidRPr="000509B1">
        <w:rPr>
          <w:sz w:val="20"/>
          <w:szCs w:val="20"/>
        </w:rPr>
        <w:t xml:space="preserve"> </w:t>
      </w:r>
      <w:r w:rsidRPr="000509B1">
        <w:rPr>
          <w:sz w:val="20"/>
          <w:szCs w:val="20"/>
        </w:rPr>
        <w:t xml:space="preserve">difference-in-means comparison using </w:t>
      </w:r>
      <m:oMath>
        <m:r>
          <w:rPr>
            <w:rFonts w:ascii="STIX Two Math" w:hAnsi="STIX Two Math" w:cs="STIX Two Math"/>
            <w:sz w:val="18"/>
            <w:szCs w:val="18"/>
          </w:rPr>
          <m:t xml:space="preserve">SE= </m:t>
        </m:r>
        <m:f>
          <m:fPr>
            <m:ctrlPr>
              <w:rPr>
                <w:rFonts w:ascii="STIX Two Math" w:hAnsi="STIX Two Math" w:cs="STIX Two Math"/>
                <w:i/>
                <w:sz w:val="18"/>
                <w:szCs w:val="18"/>
              </w:rPr>
            </m:ctrlPr>
          </m:fPr>
          <m:num>
            <m:r>
              <w:rPr>
                <w:rFonts w:ascii="STIX Two Math" w:hAnsi="STIX Two Math" w:cs="STIX Two Math"/>
                <w:sz w:val="18"/>
                <w:szCs w:val="18"/>
              </w:rPr>
              <m:t>2σ</m:t>
            </m:r>
          </m:num>
          <m:den>
            <m:rad>
              <m:radPr>
                <m:degHide m:val="1"/>
                <m:ctrlPr>
                  <w:rPr>
                    <w:rFonts w:ascii="STIX Two Math" w:hAnsi="STIX Two Math" w:cs="STIX Two Math"/>
                    <w:i/>
                    <w:sz w:val="18"/>
                    <w:szCs w:val="18"/>
                  </w:rPr>
                </m:ctrlPr>
              </m:radPr>
              <m:deg/>
              <m:e>
                <m:r>
                  <w:rPr>
                    <w:rFonts w:ascii="STIX Two Math" w:hAnsi="STIX Two Math" w:cs="STIX Two Math"/>
                    <w:sz w:val="18"/>
                    <w:szCs w:val="18"/>
                  </w:rPr>
                  <m:t>2n</m:t>
                </m:r>
              </m:e>
            </m:rad>
          </m:den>
        </m:f>
      </m:oMath>
      <w:r w:rsidRPr="00793109">
        <w:rPr>
          <w:rFonts w:eastAsiaTheme="minorEastAsia"/>
          <w:sz w:val="18"/>
          <w:szCs w:val="18"/>
        </w:rPr>
        <w:t>,</w:t>
      </w:r>
      <w:r w:rsidRPr="000509B1">
        <w:rPr>
          <w:rFonts w:eastAsiaTheme="minorEastAsia"/>
          <w:sz w:val="20"/>
          <w:szCs w:val="20"/>
        </w:rPr>
        <w:t xml:space="preserve"> where </w:t>
      </w:r>
      <m:oMath>
        <m:r>
          <w:rPr>
            <w:rFonts w:ascii="STIX Two Math" w:hAnsi="STIX Two Math" w:cs="STIX Two Math"/>
            <w:sz w:val="20"/>
            <w:szCs w:val="20"/>
          </w:rPr>
          <m:t>σ</m:t>
        </m:r>
      </m:oMath>
      <w:r w:rsidRPr="000509B1">
        <w:rPr>
          <w:rFonts w:eastAsiaTheme="minorEastAsia"/>
          <w:sz w:val="20"/>
          <w:szCs w:val="20"/>
        </w:rPr>
        <w:t xml:space="preserve"> is the standard deviation of the outcome variable </w:t>
      </w:r>
      <w:r w:rsidR="00F56740" w:rsidRPr="000509B1">
        <w:rPr>
          <w:rFonts w:eastAsiaTheme="minorEastAsia"/>
          <w:sz w:val="20"/>
          <w:szCs w:val="20"/>
        </w:rPr>
        <w:t>and</w:t>
      </w:r>
      <w:r w:rsidRPr="000509B1">
        <w:rPr>
          <w:rFonts w:eastAsiaTheme="minorEastAsia"/>
          <w:sz w:val="20"/>
          <w:szCs w:val="20"/>
        </w:rPr>
        <w:t xml:space="preserve"> </w:t>
      </w:r>
      <m:oMath>
        <m:r>
          <w:rPr>
            <w:rFonts w:ascii="Cambria Math" w:hAnsi="Cambria Math"/>
            <w:sz w:val="20"/>
            <w:szCs w:val="20"/>
          </w:rPr>
          <m:t>n</m:t>
        </m:r>
      </m:oMath>
      <w:r w:rsidR="00F56740" w:rsidRPr="000509B1">
        <w:rPr>
          <w:rFonts w:eastAsiaTheme="minorEastAsia"/>
          <w:sz w:val="20"/>
          <w:szCs w:val="20"/>
        </w:rPr>
        <w:t xml:space="preserve"> is the sample size </w:t>
      </w:r>
      <w:r w:rsidR="00F56740" w:rsidRPr="000509B1">
        <w:rPr>
          <w:rFonts w:eastAsiaTheme="minorEastAsia"/>
          <w:i/>
          <w:iCs/>
          <w:sz w:val="20"/>
          <w:szCs w:val="20"/>
        </w:rPr>
        <w:t>per condition.</w:t>
      </w:r>
      <w:r w:rsidR="00F56740" w:rsidRPr="000509B1">
        <w:rPr>
          <w:rFonts w:eastAsiaTheme="minorEastAsia"/>
          <w:sz w:val="20"/>
          <w:szCs w:val="20"/>
        </w:rPr>
        <w:t xml:space="preserve"> You </w:t>
      </w:r>
      <w:r w:rsidR="005B3722" w:rsidRPr="000509B1">
        <w:rPr>
          <w:rFonts w:eastAsiaTheme="minorEastAsia"/>
          <w:sz w:val="20"/>
          <w:szCs w:val="20"/>
        </w:rPr>
        <w:t>can</w:t>
      </w:r>
      <w:r w:rsidR="00F56740" w:rsidRPr="000509B1">
        <w:rPr>
          <w:rFonts w:eastAsiaTheme="minorEastAsia"/>
          <w:sz w:val="20"/>
          <w:szCs w:val="20"/>
        </w:rPr>
        <w:t xml:space="preserve"> obtain a suitable value of </w:t>
      </w:r>
      <m:oMath>
        <m:r>
          <w:rPr>
            <w:rFonts w:ascii="STIX Two Math" w:hAnsi="STIX Two Math" w:cs="STIX Two Math"/>
            <w:sz w:val="20"/>
            <w:szCs w:val="20"/>
          </w:rPr>
          <m:t>σ</m:t>
        </m:r>
      </m:oMath>
      <w:r w:rsidR="00F56740" w:rsidRPr="000509B1">
        <w:rPr>
          <w:rFonts w:eastAsiaTheme="minorEastAsia"/>
          <w:sz w:val="20"/>
          <w:szCs w:val="20"/>
        </w:rPr>
        <w:t xml:space="preserve"> from an existing study of the same outcome </w:t>
      </w:r>
      <w:r w:rsidR="00A01990" w:rsidRPr="000509B1">
        <w:rPr>
          <w:rFonts w:eastAsiaTheme="minorEastAsia"/>
          <w:sz w:val="20"/>
          <w:szCs w:val="20"/>
        </w:rPr>
        <w:t>and population</w:t>
      </w:r>
      <w:r w:rsidR="00F56740" w:rsidRPr="000509B1">
        <w:rPr>
          <w:rFonts w:eastAsiaTheme="minorEastAsia"/>
          <w:sz w:val="20"/>
          <w:szCs w:val="20"/>
        </w:rPr>
        <w:t xml:space="preserve">. Or </w:t>
      </w:r>
      <w:r w:rsidR="005B3722" w:rsidRPr="000509B1">
        <w:rPr>
          <w:rFonts w:eastAsiaTheme="minorEastAsia"/>
          <w:sz w:val="20"/>
          <w:szCs w:val="20"/>
        </w:rPr>
        <w:t xml:space="preserve">from </w:t>
      </w:r>
      <w:r w:rsidR="00F56740" w:rsidRPr="000509B1">
        <w:rPr>
          <w:rFonts w:eastAsiaTheme="minorEastAsia"/>
          <w:sz w:val="20"/>
          <w:szCs w:val="20"/>
        </w:rPr>
        <w:t xml:space="preserve">a pilot study, if you plan to use one. As a too-crude shortcut in a pinch, you might use range/4. </w:t>
      </w:r>
    </w:p>
    <w:p w14:paraId="12611608" w14:textId="0BCDA64A" w:rsidR="00CB527D" w:rsidRPr="000509B1" w:rsidRDefault="00A01990" w:rsidP="006A5293">
      <w:pPr>
        <w:rPr>
          <w:rFonts w:eastAsiaTheme="minorEastAsia"/>
          <w:sz w:val="20"/>
          <w:szCs w:val="20"/>
        </w:rPr>
      </w:pPr>
      <w:r w:rsidRPr="000509B1">
        <w:rPr>
          <w:rFonts w:eastAsiaTheme="minorEastAsia"/>
          <w:sz w:val="20"/>
          <w:szCs w:val="20"/>
        </w:rPr>
        <w:t xml:space="preserve">Regression </w:t>
      </w:r>
      <w:r w:rsidR="00F56740" w:rsidRPr="000509B1">
        <w:rPr>
          <w:rFonts w:eastAsiaTheme="minorEastAsia"/>
          <w:sz w:val="20"/>
          <w:szCs w:val="20"/>
        </w:rPr>
        <w:t>adjustment</w:t>
      </w:r>
      <w:r w:rsidRPr="000509B1">
        <w:rPr>
          <w:rFonts w:eastAsiaTheme="minorEastAsia"/>
          <w:sz w:val="20"/>
          <w:szCs w:val="20"/>
        </w:rPr>
        <w:t xml:space="preserve"> can increase power; it</w:t>
      </w:r>
      <w:r w:rsidR="00F56740" w:rsidRPr="000509B1">
        <w:rPr>
          <w:rFonts w:eastAsiaTheme="minorEastAsia"/>
          <w:sz w:val="20"/>
          <w:szCs w:val="20"/>
        </w:rPr>
        <w:t xml:space="preserve"> shrinks the standard error by a factor of about  </w:t>
      </w:r>
      <m:oMath>
        <m:rad>
          <m:radPr>
            <m:degHide m:val="1"/>
            <m:ctrlPr>
              <w:rPr>
                <w:rFonts w:ascii="STIX Two Math" w:eastAsiaTheme="minorEastAsia" w:hAnsi="STIX Two Math" w:cs="STIX Two Math"/>
                <w:i/>
                <w:sz w:val="20"/>
                <w:szCs w:val="20"/>
              </w:rPr>
            </m:ctrlPr>
          </m:radPr>
          <m:deg/>
          <m:e>
            <m:r>
              <w:rPr>
                <w:rFonts w:ascii="STIX Two Math" w:eastAsiaTheme="minorEastAsia" w:hAnsi="STIX Two Math" w:cs="STIX Two Math"/>
                <w:sz w:val="20"/>
                <w:szCs w:val="20"/>
              </w:rPr>
              <m:t>1-</m:t>
            </m:r>
            <m:acc>
              <m:accPr>
                <m:chr m:val="̃"/>
                <m:ctrlPr>
                  <w:rPr>
                    <w:rFonts w:ascii="STIX Two Math" w:eastAsiaTheme="minorEastAsia" w:hAnsi="STIX Two Math" w:cs="STIX Two Math"/>
                    <w:i/>
                    <w:sz w:val="20"/>
                    <w:szCs w:val="20"/>
                  </w:rPr>
                </m:ctrlPr>
              </m:accPr>
              <m:e>
                <m:sSup>
                  <m:sSupPr>
                    <m:ctrlPr>
                      <w:rPr>
                        <w:rFonts w:ascii="STIX Two Math" w:eastAsiaTheme="minorEastAsia" w:hAnsi="STIX Two Math" w:cs="STIX Two Math"/>
                        <w:i/>
                        <w:sz w:val="20"/>
                        <w:szCs w:val="20"/>
                      </w:rPr>
                    </m:ctrlPr>
                  </m:sSupPr>
                  <m:e>
                    <m:r>
                      <w:rPr>
                        <w:rFonts w:ascii="STIX Two Math" w:eastAsiaTheme="minorEastAsia" w:hAnsi="STIX Two Math" w:cs="STIX Two Math"/>
                        <w:sz w:val="20"/>
                        <w:szCs w:val="20"/>
                      </w:rPr>
                      <m:t>R</m:t>
                    </m:r>
                  </m:e>
                  <m:sup>
                    <m:r>
                      <w:rPr>
                        <w:rFonts w:ascii="STIX Two Math" w:eastAsiaTheme="minorEastAsia" w:hAnsi="STIX Two Math" w:cs="STIX Two Math"/>
                        <w:sz w:val="20"/>
                        <w:szCs w:val="20"/>
                      </w:rPr>
                      <m:t>2</m:t>
                    </m:r>
                  </m:sup>
                </m:sSup>
              </m:e>
            </m:acc>
          </m:e>
        </m:rad>
      </m:oMath>
      <w:r w:rsidR="00F56740" w:rsidRPr="000509B1">
        <w:rPr>
          <w:rFonts w:eastAsiaTheme="minorEastAsia"/>
          <w:sz w:val="20"/>
          <w:szCs w:val="20"/>
        </w:rPr>
        <w:t xml:space="preserve">, where </w:t>
      </w:r>
      <m:oMath>
        <m:acc>
          <m:accPr>
            <m:chr m:val="̃"/>
            <m:ctrlPr>
              <w:rPr>
                <w:rFonts w:ascii="STIX Two Math" w:eastAsiaTheme="minorEastAsia" w:hAnsi="STIX Two Math" w:cs="STIX Two Math"/>
                <w:i/>
                <w:sz w:val="20"/>
                <w:szCs w:val="20"/>
              </w:rPr>
            </m:ctrlPr>
          </m:accPr>
          <m:e>
            <m:sSup>
              <m:sSupPr>
                <m:ctrlPr>
                  <w:rPr>
                    <w:rFonts w:ascii="STIX Two Math" w:eastAsiaTheme="minorEastAsia" w:hAnsi="STIX Two Math" w:cs="STIX Two Math"/>
                    <w:i/>
                    <w:sz w:val="20"/>
                    <w:szCs w:val="20"/>
                  </w:rPr>
                </m:ctrlPr>
              </m:sSupPr>
              <m:e>
                <m:r>
                  <w:rPr>
                    <w:rFonts w:ascii="STIX Two Math" w:eastAsiaTheme="minorEastAsia" w:hAnsi="STIX Two Math" w:cs="STIX Two Math"/>
                    <w:sz w:val="20"/>
                    <w:szCs w:val="20"/>
                  </w:rPr>
                  <m:t>R</m:t>
                </m:r>
              </m:e>
              <m:sup>
                <m:r>
                  <w:rPr>
                    <w:rFonts w:ascii="STIX Two Math" w:eastAsiaTheme="minorEastAsia" w:hAnsi="STIX Two Math" w:cs="STIX Two Math"/>
                    <w:sz w:val="20"/>
                    <w:szCs w:val="20"/>
                  </w:rPr>
                  <m:t>2</m:t>
                </m:r>
              </m:sup>
            </m:sSup>
          </m:e>
        </m:acc>
      </m:oMath>
      <w:r w:rsidR="00F56740" w:rsidRPr="000509B1">
        <w:rPr>
          <w:rFonts w:eastAsiaTheme="minorEastAsia"/>
          <w:sz w:val="20"/>
          <w:szCs w:val="20"/>
        </w:rPr>
        <w:t xml:space="preserve"> is the </w:t>
      </w:r>
      <m:oMath>
        <m:acc>
          <m:accPr>
            <m:chr m:val="̃"/>
            <m:ctrlPr>
              <w:rPr>
                <w:rFonts w:ascii="STIX Two Math" w:eastAsiaTheme="minorEastAsia" w:hAnsi="STIX Two Math" w:cs="STIX Two Math"/>
                <w:i/>
                <w:sz w:val="20"/>
                <w:szCs w:val="20"/>
              </w:rPr>
            </m:ctrlPr>
          </m:accPr>
          <m:e>
            <m:sSup>
              <m:sSupPr>
                <m:ctrlPr>
                  <w:rPr>
                    <w:rFonts w:ascii="STIX Two Math" w:eastAsiaTheme="minorEastAsia" w:hAnsi="STIX Two Math" w:cs="STIX Two Math"/>
                    <w:i/>
                    <w:sz w:val="20"/>
                    <w:szCs w:val="20"/>
                  </w:rPr>
                </m:ctrlPr>
              </m:sSupPr>
              <m:e>
                <m:r>
                  <w:rPr>
                    <w:rFonts w:ascii="STIX Two Math" w:eastAsiaTheme="minorEastAsia" w:hAnsi="STIX Two Math" w:cs="STIX Two Math"/>
                    <w:sz w:val="20"/>
                    <w:szCs w:val="20"/>
                  </w:rPr>
                  <m:t>R</m:t>
                </m:r>
              </m:e>
              <m:sup>
                <m:r>
                  <w:rPr>
                    <w:rFonts w:ascii="STIX Two Math" w:eastAsiaTheme="minorEastAsia" w:hAnsi="STIX Two Math" w:cs="STIX Two Math"/>
                    <w:sz w:val="20"/>
                    <w:szCs w:val="20"/>
                  </w:rPr>
                  <m:t>2</m:t>
                </m:r>
              </m:sup>
            </m:sSup>
          </m:e>
        </m:acc>
      </m:oMath>
      <w:r w:rsidR="00D81362" w:rsidRPr="000509B1">
        <w:rPr>
          <w:rFonts w:eastAsiaTheme="minorEastAsia"/>
          <w:sz w:val="20"/>
          <w:szCs w:val="20"/>
        </w:rPr>
        <w:t xml:space="preserve"> of the regression of the predictors on the outcome variable. Unless predictors are </w:t>
      </w:r>
      <w:r w:rsidR="00D81362" w:rsidRPr="000509B1">
        <w:rPr>
          <w:rFonts w:eastAsiaTheme="minorEastAsia"/>
          <w:i/>
          <w:iCs/>
          <w:sz w:val="20"/>
          <w:szCs w:val="20"/>
        </w:rPr>
        <w:t>highly</w:t>
      </w:r>
      <w:r w:rsidR="00D81362" w:rsidRPr="000509B1">
        <w:rPr>
          <w:rFonts w:eastAsiaTheme="minorEastAsia"/>
          <w:sz w:val="20"/>
          <w:szCs w:val="20"/>
        </w:rPr>
        <w:t xml:space="preserve"> predictive of the outcome, adjustment doesn’t matter much. </w:t>
      </w:r>
      <w:r w:rsidR="002F371A" w:rsidRPr="000509B1">
        <w:rPr>
          <w:rFonts w:eastAsiaTheme="minorEastAsia"/>
          <w:sz w:val="20"/>
          <w:szCs w:val="20"/>
        </w:rPr>
        <w:t xml:space="preserve">However, in </w:t>
      </w:r>
      <w:r w:rsidR="00BD256B">
        <w:rPr>
          <w:rFonts w:eastAsiaTheme="minorEastAsia"/>
          <w:sz w:val="20"/>
          <w:szCs w:val="20"/>
        </w:rPr>
        <w:t>pre–post</w:t>
      </w:r>
      <w:r w:rsidR="00D81362" w:rsidRPr="000509B1">
        <w:rPr>
          <w:rFonts w:eastAsiaTheme="minorEastAsia"/>
          <w:sz w:val="20"/>
          <w:szCs w:val="20"/>
        </w:rPr>
        <w:t xml:space="preserve"> designs</w:t>
      </w:r>
      <w:r w:rsidR="002F371A" w:rsidRPr="000509B1">
        <w:rPr>
          <w:rFonts w:eastAsiaTheme="minorEastAsia"/>
          <w:sz w:val="20"/>
          <w:szCs w:val="20"/>
        </w:rPr>
        <w:t>,</w:t>
      </w:r>
      <w:r w:rsidR="00D81362" w:rsidRPr="000509B1">
        <w:rPr>
          <w:rFonts w:eastAsiaTheme="minorEastAsia"/>
          <w:sz w:val="20"/>
          <w:szCs w:val="20"/>
        </w:rPr>
        <w:t xml:space="preserve"> the researcher measures the outcome before and after the treatment and adjusts for the pre-treatment measure. </w:t>
      </w:r>
      <w:r w:rsidR="00557575" w:rsidRPr="000509B1">
        <w:rPr>
          <w:rFonts w:eastAsiaTheme="minorEastAsia"/>
          <w:sz w:val="20"/>
          <w:szCs w:val="20"/>
        </w:rPr>
        <w:t>T</w:t>
      </w:r>
      <w:r w:rsidR="00D81362" w:rsidRPr="000509B1">
        <w:rPr>
          <w:rFonts w:eastAsiaTheme="minorEastAsia"/>
          <w:sz w:val="20"/>
          <w:szCs w:val="20"/>
        </w:rPr>
        <w:t xml:space="preserve">his shrinks the standard error </w:t>
      </w:r>
      <w:r w:rsidR="00557575" w:rsidRPr="000509B1">
        <w:rPr>
          <w:rFonts w:eastAsiaTheme="minorEastAsia"/>
          <w:sz w:val="20"/>
          <w:szCs w:val="20"/>
        </w:rPr>
        <w:t>at least 30</w:t>
      </w:r>
      <w:r w:rsidR="00D81362" w:rsidRPr="000509B1">
        <w:rPr>
          <w:rFonts w:eastAsiaTheme="minorEastAsia"/>
          <w:sz w:val="20"/>
          <w:szCs w:val="20"/>
        </w:rPr>
        <w:t>%</w:t>
      </w:r>
      <w:r w:rsidR="00557575" w:rsidRPr="000509B1">
        <w:rPr>
          <w:rFonts w:eastAsiaTheme="minorEastAsia"/>
          <w:sz w:val="20"/>
          <w:szCs w:val="20"/>
        </w:rPr>
        <w:t>, typically 50%, and perhaps 70%</w:t>
      </w:r>
      <w:r w:rsidR="00D81362" w:rsidRPr="000509B1">
        <w:rPr>
          <w:rFonts w:eastAsiaTheme="minorEastAsia"/>
          <w:sz w:val="20"/>
          <w:szCs w:val="20"/>
        </w:rPr>
        <w:t>.</w:t>
      </w:r>
      <w:r w:rsidR="00BD256B">
        <w:rPr>
          <w:rFonts w:eastAsiaTheme="minorEastAsia"/>
          <w:sz w:val="20"/>
          <w:szCs w:val="20"/>
        </w:rPr>
        <w:t xml:space="preserve"> You can obtain a suitable value of </w:t>
      </w:r>
      <m:oMath>
        <m:acc>
          <m:accPr>
            <m:chr m:val="̃"/>
            <m:ctrlPr>
              <w:rPr>
                <w:rFonts w:ascii="STIX Two Math" w:eastAsiaTheme="minorEastAsia" w:hAnsi="STIX Two Math" w:cs="STIX Two Math"/>
                <w:i/>
                <w:sz w:val="20"/>
                <w:szCs w:val="20"/>
              </w:rPr>
            </m:ctrlPr>
          </m:accPr>
          <m:e>
            <m:sSup>
              <m:sSupPr>
                <m:ctrlPr>
                  <w:rPr>
                    <w:rFonts w:ascii="STIX Two Math" w:eastAsiaTheme="minorEastAsia" w:hAnsi="STIX Two Math" w:cs="STIX Two Math"/>
                    <w:i/>
                    <w:sz w:val="20"/>
                    <w:szCs w:val="20"/>
                  </w:rPr>
                </m:ctrlPr>
              </m:sSupPr>
              <m:e>
                <m:r>
                  <w:rPr>
                    <w:rFonts w:ascii="STIX Two Math" w:eastAsiaTheme="minorEastAsia" w:hAnsi="STIX Two Math" w:cs="STIX Two Math"/>
                    <w:sz w:val="20"/>
                    <w:szCs w:val="20"/>
                  </w:rPr>
                  <m:t>R</m:t>
                </m:r>
              </m:e>
              <m:sup>
                <m:r>
                  <w:rPr>
                    <w:rFonts w:ascii="STIX Two Math" w:eastAsiaTheme="minorEastAsia" w:hAnsi="STIX Two Math" w:cs="STIX Two Math"/>
                    <w:sz w:val="20"/>
                    <w:szCs w:val="20"/>
                  </w:rPr>
                  <m:t>2</m:t>
                </m:r>
              </m:sup>
            </m:sSup>
          </m:e>
        </m:acc>
      </m:oMath>
      <w:r w:rsidR="00BD256B">
        <w:rPr>
          <w:rFonts w:eastAsiaTheme="minorEastAsia"/>
          <w:sz w:val="20"/>
          <w:szCs w:val="20"/>
        </w:rPr>
        <w:t xml:space="preserve"> from a pilot study, if you have one.</w:t>
      </w:r>
    </w:p>
    <w:p w14:paraId="631D2565" w14:textId="27C91631" w:rsidR="00DD3A8C" w:rsidRDefault="002F371A" w:rsidP="00DD3A8C">
      <w:pPr>
        <w:pStyle w:val="Heading1"/>
        <w:rPr>
          <w:sz w:val="20"/>
          <w:szCs w:val="20"/>
        </w:rPr>
      </w:pPr>
      <w:r w:rsidRPr="000509B1">
        <w:rPr>
          <w:sz w:val="20"/>
          <w:szCs w:val="20"/>
        </w:rPr>
        <w:t>What should I read next?</w:t>
      </w:r>
    </w:p>
    <w:p w14:paraId="4B053EEF" w14:textId="10960FC8" w:rsidR="005D56C4" w:rsidRPr="005D56C4" w:rsidRDefault="005D56C4" w:rsidP="005D56C4">
      <w:pPr>
        <w:rPr>
          <w:sz w:val="20"/>
          <w:szCs w:val="20"/>
        </w:rPr>
      </w:pPr>
      <w:hyperlink r:id="rId9">
        <w:r w:rsidRPr="005D56C4">
          <w:rPr>
            <w:rStyle w:val="Hyperlink"/>
            <w:sz w:val="20"/>
            <w:szCs w:val="20"/>
          </w:rPr>
          <w:t>Cohen (1988)</w:t>
        </w:r>
      </w:hyperlink>
      <w:r w:rsidRPr="005D56C4">
        <w:rPr>
          <w:sz w:val="20"/>
          <w:szCs w:val="20"/>
        </w:rPr>
        <w:t xml:space="preserve"> provides the foundational introduction to power analysis; </w:t>
      </w:r>
      <w:hyperlink r:id="rId10" w:history="1">
        <w:r w:rsidRPr="00793109">
          <w:rPr>
            <w:rStyle w:val="Hyperlink"/>
            <w:sz w:val="20"/>
            <w:szCs w:val="20"/>
          </w:rPr>
          <w:t>Cohen (1990)</w:t>
        </w:r>
      </w:hyperlink>
      <w:r w:rsidRPr="005D56C4">
        <w:rPr>
          <w:sz w:val="20"/>
          <w:szCs w:val="20"/>
        </w:rPr>
        <w:t xml:space="preserve"> offers an engaging personal and historical perspective. </w:t>
      </w:r>
      <w:hyperlink r:id="rId11" w:history="1">
        <w:r w:rsidRPr="005D56C4">
          <w:rPr>
            <w:rStyle w:val="Hyperlink"/>
            <w:sz w:val="20"/>
            <w:szCs w:val="20"/>
          </w:rPr>
          <w:t xml:space="preserve">DeGroot and </w:t>
        </w:r>
        <w:proofErr w:type="spellStart"/>
        <w:r w:rsidRPr="005D56C4">
          <w:rPr>
            <w:rStyle w:val="Hyperlink"/>
            <w:sz w:val="20"/>
            <w:szCs w:val="20"/>
          </w:rPr>
          <w:t>Schervish</w:t>
        </w:r>
        <w:proofErr w:type="spellEnd"/>
        <w:r w:rsidRPr="005D56C4">
          <w:rPr>
            <w:rStyle w:val="Hyperlink"/>
            <w:sz w:val="20"/>
            <w:szCs w:val="20"/>
          </w:rPr>
          <w:t xml:space="preserve"> (2010, </w:t>
        </w:r>
        <w:proofErr w:type="spellStart"/>
        <w:r w:rsidRPr="005D56C4">
          <w:rPr>
            <w:rStyle w:val="Hyperlink"/>
            <w:sz w:val="20"/>
            <w:szCs w:val="20"/>
          </w:rPr>
          <w:t>ch.</w:t>
        </w:r>
        <w:proofErr w:type="spellEnd"/>
        <w:r w:rsidRPr="005D56C4">
          <w:rPr>
            <w:rStyle w:val="Hyperlink"/>
            <w:sz w:val="20"/>
            <w:szCs w:val="20"/>
          </w:rPr>
          <w:t xml:space="preserve"> 9)</w:t>
        </w:r>
      </w:hyperlink>
      <w:r w:rsidRPr="005D56C4">
        <w:rPr>
          <w:sz w:val="20"/>
          <w:szCs w:val="20"/>
        </w:rPr>
        <w:t xml:space="preserve"> and </w:t>
      </w:r>
      <w:hyperlink r:id="rId12">
        <w:r w:rsidRPr="005D56C4">
          <w:rPr>
            <w:rStyle w:val="Hyperlink"/>
            <w:sz w:val="20"/>
            <w:szCs w:val="20"/>
          </w:rPr>
          <w:t xml:space="preserve">Casella and Berger (2002, </w:t>
        </w:r>
        <w:proofErr w:type="spellStart"/>
        <w:r w:rsidRPr="005D56C4">
          <w:rPr>
            <w:rStyle w:val="Hyperlink"/>
            <w:sz w:val="20"/>
            <w:szCs w:val="20"/>
          </w:rPr>
          <w:t>ch.</w:t>
        </w:r>
        <w:proofErr w:type="spellEnd"/>
        <w:r w:rsidRPr="005D56C4">
          <w:rPr>
            <w:rStyle w:val="Hyperlink"/>
            <w:sz w:val="20"/>
            <w:szCs w:val="20"/>
          </w:rPr>
          <w:t xml:space="preserve"> 8)</w:t>
        </w:r>
      </w:hyperlink>
      <w:r w:rsidRPr="005D56C4">
        <w:rPr>
          <w:sz w:val="20"/>
          <w:szCs w:val="20"/>
        </w:rPr>
        <w:t xml:space="preserve"> provide a thorough technical discussion. </w:t>
      </w:r>
      <w:r w:rsidR="00202FB8">
        <w:rPr>
          <w:sz w:val="20"/>
          <w:szCs w:val="20"/>
        </w:rPr>
        <w:fldChar w:fldCharType="begin"/>
      </w:r>
      <w:r w:rsidR="00202FB8">
        <w:rPr>
          <w:sz w:val="20"/>
          <w:szCs w:val="20"/>
        </w:rPr>
        <w:instrText>HYPERLINK "https://psycnet.apa.org/fulltext/2000-16737-001.pdf"</w:instrText>
      </w:r>
      <w:r w:rsidR="00202FB8">
        <w:rPr>
          <w:sz w:val="20"/>
          <w:szCs w:val="20"/>
        </w:rPr>
      </w:r>
      <w:r w:rsidR="00202FB8">
        <w:rPr>
          <w:sz w:val="20"/>
          <w:szCs w:val="20"/>
        </w:rPr>
        <w:fldChar w:fldCharType="separate"/>
      </w:r>
      <w:r w:rsidR="00202FB8" w:rsidRPr="00202FB8">
        <w:rPr>
          <w:rStyle w:val="Hyperlink"/>
          <w:sz w:val="20"/>
          <w:szCs w:val="20"/>
        </w:rPr>
        <w:t>Jones and Tukey (2000)</w:t>
      </w:r>
      <w:r w:rsidR="00202FB8">
        <w:rPr>
          <w:sz w:val="20"/>
          <w:szCs w:val="20"/>
        </w:rPr>
        <w:fldChar w:fldCharType="end"/>
      </w:r>
      <w:r w:rsidR="00202FB8">
        <w:rPr>
          <w:sz w:val="20"/>
          <w:szCs w:val="20"/>
        </w:rPr>
        <w:t xml:space="preserve"> discuss </w:t>
      </w:r>
      <w:r w:rsidR="00202FB8">
        <w:rPr>
          <w:sz w:val="20"/>
          <w:szCs w:val="20"/>
        </w:rPr>
        <w:t xml:space="preserve">Type II errs as </w:t>
      </w:r>
      <w:r w:rsidR="00202FB8">
        <w:rPr>
          <w:sz w:val="20"/>
          <w:szCs w:val="20"/>
        </w:rPr>
        <w:t>“wasted opportunities.”</w:t>
      </w:r>
    </w:p>
    <w:p w14:paraId="234C2247" w14:textId="66565316" w:rsidR="005D56C4" w:rsidRPr="005D56C4" w:rsidRDefault="005D56C4" w:rsidP="005D56C4">
      <w:pPr>
        <w:rPr>
          <w:sz w:val="20"/>
          <w:szCs w:val="20"/>
        </w:rPr>
      </w:pPr>
      <w:hyperlink r:id="rId13">
        <w:r w:rsidRPr="005D56C4">
          <w:rPr>
            <w:rStyle w:val="Hyperlink"/>
            <w:sz w:val="20"/>
            <w:szCs w:val="20"/>
          </w:rPr>
          <w:t>Bloom (1995)</w:t>
        </w:r>
      </w:hyperlink>
      <w:r w:rsidRPr="005D56C4">
        <w:rPr>
          <w:sz w:val="20"/>
          <w:szCs w:val="20"/>
        </w:rPr>
        <w:t xml:space="preserve"> offers a practical and intuitive approach us-</w:t>
      </w:r>
      <w:proofErr w:type="spellStart"/>
      <w:r w:rsidRPr="005D56C4">
        <w:rPr>
          <w:sz w:val="20"/>
          <w:szCs w:val="20"/>
        </w:rPr>
        <w:t>ing</w:t>
      </w:r>
      <w:proofErr w:type="spellEnd"/>
      <w:r w:rsidRPr="005D56C4">
        <w:rPr>
          <w:sz w:val="20"/>
          <w:szCs w:val="20"/>
        </w:rPr>
        <w:t xml:space="preserve"> the minimum detectable effect. </w:t>
      </w:r>
      <w:hyperlink r:id="rId14">
        <w:r w:rsidRPr="005D56C4">
          <w:rPr>
            <w:rStyle w:val="Hyperlink"/>
            <w:sz w:val="20"/>
            <w:szCs w:val="20"/>
          </w:rPr>
          <w:t>Rainey (2025)</w:t>
        </w:r>
      </w:hyperlink>
      <w:r w:rsidRPr="005D56C4">
        <w:rPr>
          <w:sz w:val="20"/>
          <w:szCs w:val="20"/>
        </w:rPr>
        <w:t xml:space="preserve"> updates Bloom’s perspective. </w:t>
      </w:r>
      <w:hyperlink r:id="rId15">
        <w:r w:rsidRPr="005D56C4">
          <w:rPr>
            <w:rStyle w:val="Hyperlink"/>
            <w:sz w:val="20"/>
            <w:szCs w:val="20"/>
          </w:rPr>
          <w:t>Greenland et al. (2016)</w:t>
        </w:r>
      </w:hyperlink>
      <w:r w:rsidRPr="005D56C4">
        <w:rPr>
          <w:sz w:val="20"/>
          <w:szCs w:val="20"/>
        </w:rPr>
        <w:t xml:space="preserve"> offer an accessible discussion organized around potential misunderstand-</w:t>
      </w:r>
      <w:proofErr w:type="spellStart"/>
      <w:r w:rsidRPr="005D56C4">
        <w:rPr>
          <w:sz w:val="20"/>
          <w:szCs w:val="20"/>
        </w:rPr>
        <w:t>ings</w:t>
      </w:r>
      <w:proofErr w:type="spellEnd"/>
      <w:r w:rsidRPr="005D56C4">
        <w:rPr>
          <w:sz w:val="20"/>
          <w:szCs w:val="20"/>
        </w:rPr>
        <w:t xml:space="preserve">. </w:t>
      </w:r>
      <w:hyperlink r:id="rId16">
        <w:r w:rsidRPr="005D56C4">
          <w:rPr>
            <w:rStyle w:val="Hyperlink"/>
            <w:sz w:val="20"/>
            <w:szCs w:val="20"/>
          </w:rPr>
          <w:t>Cohen (1992)</w:t>
        </w:r>
      </w:hyperlink>
      <w:r w:rsidRPr="005D56C4">
        <w:rPr>
          <w:sz w:val="20"/>
          <w:szCs w:val="20"/>
        </w:rPr>
        <w:t xml:space="preserve">, </w:t>
      </w:r>
      <w:hyperlink r:id="rId17">
        <w:r w:rsidRPr="005D56C4">
          <w:rPr>
            <w:rStyle w:val="Hyperlink"/>
            <w:sz w:val="20"/>
            <w:szCs w:val="20"/>
          </w:rPr>
          <w:t>Lenth (2001)</w:t>
        </w:r>
      </w:hyperlink>
      <w:r w:rsidRPr="005D56C4">
        <w:rPr>
          <w:sz w:val="20"/>
          <w:szCs w:val="20"/>
        </w:rPr>
        <w:t xml:space="preserve">, and </w:t>
      </w:r>
      <w:hyperlink r:id="rId18">
        <w:proofErr w:type="spellStart"/>
        <w:r>
          <w:rPr>
            <w:rStyle w:val="Hyperlink"/>
            <w:sz w:val="20"/>
            <w:szCs w:val="20"/>
          </w:rPr>
          <w:t>Meyvis</w:t>
        </w:r>
        <w:proofErr w:type="spellEnd"/>
        <w:r>
          <w:rPr>
            <w:rStyle w:val="Hyperlink"/>
            <w:sz w:val="20"/>
            <w:szCs w:val="20"/>
          </w:rPr>
          <w:t xml:space="preserve"> and </w:t>
        </w:r>
        <w:r w:rsidR="00BD256B">
          <w:rPr>
            <w:rStyle w:val="Hyperlink"/>
            <w:sz w:val="20"/>
            <w:szCs w:val="20"/>
          </w:rPr>
          <w:t>v</w:t>
        </w:r>
        <w:r>
          <w:rPr>
            <w:rStyle w:val="Hyperlink"/>
            <w:sz w:val="20"/>
            <w:szCs w:val="20"/>
          </w:rPr>
          <w:t xml:space="preserve">an </w:t>
        </w:r>
        <w:proofErr w:type="spellStart"/>
        <w:r>
          <w:rPr>
            <w:rStyle w:val="Hyperlink"/>
            <w:sz w:val="20"/>
            <w:szCs w:val="20"/>
          </w:rPr>
          <w:t>Osselaer</w:t>
        </w:r>
        <w:proofErr w:type="spellEnd"/>
        <w:r>
          <w:rPr>
            <w:rStyle w:val="Hyperlink"/>
            <w:sz w:val="20"/>
            <w:szCs w:val="20"/>
          </w:rPr>
          <w:t xml:space="preserve"> (2018)</w:t>
        </w:r>
      </w:hyperlink>
      <w:r w:rsidRPr="005D56C4">
        <w:rPr>
          <w:sz w:val="20"/>
          <w:szCs w:val="20"/>
        </w:rPr>
        <w:t xml:space="preserve"> also offer practical guides. </w:t>
      </w:r>
    </w:p>
    <w:p w14:paraId="3ACBD443" w14:textId="7BDCFA22" w:rsidR="005D56C4" w:rsidRPr="005D56C4" w:rsidRDefault="005D56C4" w:rsidP="005D56C4">
      <w:pPr>
        <w:rPr>
          <w:sz w:val="20"/>
          <w:szCs w:val="20"/>
        </w:rPr>
      </w:pPr>
      <w:hyperlink r:id="rId19">
        <w:r w:rsidRPr="005D56C4">
          <w:rPr>
            <w:rStyle w:val="Hyperlink"/>
            <w:sz w:val="20"/>
            <w:szCs w:val="20"/>
          </w:rPr>
          <w:t>Rainey (2014)</w:t>
        </w:r>
      </w:hyperlink>
      <w:r w:rsidRPr="005D56C4">
        <w:rPr>
          <w:sz w:val="20"/>
          <w:szCs w:val="20"/>
        </w:rPr>
        <w:t xml:space="preserve">, </w:t>
      </w:r>
      <w:hyperlink r:id="rId20">
        <w:r w:rsidRPr="005D56C4">
          <w:rPr>
            <w:rStyle w:val="Hyperlink"/>
            <w:sz w:val="20"/>
            <w:szCs w:val="20"/>
          </w:rPr>
          <w:t>McCaskey and Rainey (2015)</w:t>
        </w:r>
      </w:hyperlink>
      <w:r w:rsidRPr="005D56C4">
        <w:rPr>
          <w:sz w:val="20"/>
          <w:szCs w:val="20"/>
        </w:rPr>
        <w:t xml:space="preserve">, and </w:t>
      </w:r>
      <w:hyperlink r:id="rId21">
        <w:proofErr w:type="spellStart"/>
        <w:r w:rsidRPr="005D56C4">
          <w:rPr>
            <w:rStyle w:val="Hyperlink"/>
            <w:sz w:val="20"/>
            <w:szCs w:val="20"/>
          </w:rPr>
          <w:t>Lakens</w:t>
        </w:r>
        <w:proofErr w:type="spellEnd"/>
        <w:r w:rsidRPr="005D56C4">
          <w:rPr>
            <w:rStyle w:val="Hyperlink"/>
            <w:sz w:val="20"/>
            <w:szCs w:val="20"/>
          </w:rPr>
          <w:t>, Scheel, and Isager (2018, see esp. pp. 261-263)</w:t>
        </w:r>
      </w:hyperlink>
      <w:r w:rsidRPr="005D56C4">
        <w:rPr>
          <w:sz w:val="20"/>
          <w:szCs w:val="20"/>
        </w:rPr>
        <w:t xml:space="preserve"> discuss the SE</w:t>
      </w:r>
      <w:r w:rsidR="00BD256B">
        <w:rPr>
          <w:sz w:val="20"/>
          <w:szCs w:val="20"/>
        </w:rPr>
        <w:t>S</w:t>
      </w:r>
      <w:r w:rsidRPr="005D56C4">
        <w:rPr>
          <w:sz w:val="20"/>
          <w:szCs w:val="20"/>
        </w:rPr>
        <w:t xml:space="preserve">OI. </w:t>
      </w:r>
      <w:hyperlink r:id="rId22">
        <w:proofErr w:type="spellStart"/>
        <w:r w:rsidRPr="005D56C4">
          <w:rPr>
            <w:rStyle w:val="Hyperlink"/>
            <w:sz w:val="20"/>
            <w:szCs w:val="20"/>
          </w:rPr>
          <w:t>Lovakov</w:t>
        </w:r>
        <w:proofErr w:type="spellEnd"/>
        <w:r w:rsidRPr="005D56C4">
          <w:rPr>
            <w:rStyle w:val="Hyperlink"/>
            <w:sz w:val="20"/>
            <w:szCs w:val="20"/>
          </w:rPr>
          <w:t xml:space="preserve"> and </w:t>
        </w:r>
        <w:proofErr w:type="spellStart"/>
        <w:r w:rsidRPr="005D56C4">
          <w:rPr>
            <w:rStyle w:val="Hyperlink"/>
            <w:sz w:val="20"/>
            <w:szCs w:val="20"/>
          </w:rPr>
          <w:t>Agadullina</w:t>
        </w:r>
        <w:proofErr w:type="spellEnd"/>
        <w:r w:rsidRPr="005D56C4">
          <w:rPr>
            <w:rStyle w:val="Hyperlink"/>
            <w:sz w:val="20"/>
            <w:szCs w:val="20"/>
          </w:rPr>
          <w:t xml:space="preserve"> (2021)</w:t>
        </w:r>
      </w:hyperlink>
      <w:r w:rsidRPr="005D56C4">
        <w:rPr>
          <w:sz w:val="20"/>
          <w:szCs w:val="20"/>
        </w:rPr>
        <w:t xml:space="preserve"> offer empirical rules for effect sizes derived from social psychology. </w:t>
      </w:r>
      <w:hyperlink r:id="rId23">
        <w:r w:rsidRPr="005D56C4">
          <w:rPr>
            <w:rStyle w:val="Hyperlink"/>
            <w:sz w:val="20"/>
            <w:szCs w:val="20"/>
          </w:rPr>
          <w:t>Leon, Davis, and Kraemer (2011)</w:t>
        </w:r>
      </w:hyperlink>
      <w:r w:rsidRPr="005D56C4">
        <w:rPr>
          <w:sz w:val="20"/>
          <w:szCs w:val="20"/>
        </w:rPr>
        <w:t xml:space="preserve"> and </w:t>
      </w:r>
      <w:hyperlink r:id="rId24">
        <w:r w:rsidRPr="005D56C4">
          <w:rPr>
            <w:rStyle w:val="Hyperlink"/>
            <w:sz w:val="20"/>
            <w:szCs w:val="20"/>
          </w:rPr>
          <w:t xml:space="preserve">Albers and </w:t>
        </w:r>
        <w:proofErr w:type="spellStart"/>
        <w:r w:rsidRPr="005D56C4">
          <w:rPr>
            <w:rStyle w:val="Hyperlink"/>
            <w:sz w:val="20"/>
            <w:szCs w:val="20"/>
          </w:rPr>
          <w:t>Lakens</w:t>
        </w:r>
        <w:proofErr w:type="spellEnd"/>
        <w:r w:rsidRPr="005D56C4">
          <w:rPr>
            <w:rStyle w:val="Hyperlink"/>
            <w:sz w:val="20"/>
            <w:szCs w:val="20"/>
          </w:rPr>
          <w:t xml:space="preserve"> (2018)</w:t>
        </w:r>
      </w:hyperlink>
      <w:r w:rsidRPr="005D56C4">
        <w:rPr>
          <w:sz w:val="20"/>
          <w:szCs w:val="20"/>
        </w:rPr>
        <w:t xml:space="preserve"> explain why pilot data should not be used to estimate the effect for the power calculation, though </w:t>
      </w:r>
      <w:hyperlink r:id="rId25">
        <w:r w:rsidRPr="005D56C4">
          <w:rPr>
            <w:rStyle w:val="Hyperlink"/>
            <w:sz w:val="20"/>
            <w:szCs w:val="20"/>
          </w:rPr>
          <w:t>Marco Perugini, Gallucci, and Costantini (2014)</w:t>
        </w:r>
      </w:hyperlink>
      <w:r w:rsidRPr="005D56C4">
        <w:rPr>
          <w:sz w:val="20"/>
          <w:szCs w:val="20"/>
        </w:rPr>
        <w:t xml:space="preserve"> propose a conservative alternative.</w:t>
      </w:r>
    </w:p>
    <w:p w14:paraId="389AD958" w14:textId="74C39463" w:rsidR="005D56C4" w:rsidRPr="005D56C4" w:rsidRDefault="005D56C4" w:rsidP="005D56C4">
      <w:pPr>
        <w:rPr>
          <w:sz w:val="20"/>
          <w:szCs w:val="20"/>
        </w:rPr>
      </w:pPr>
      <w:hyperlink r:id="rId26">
        <w:r w:rsidRPr="005D56C4">
          <w:rPr>
            <w:rStyle w:val="Hyperlink"/>
            <w:sz w:val="20"/>
            <w:szCs w:val="20"/>
          </w:rPr>
          <w:t>Hoenig and Heisey (20</w:t>
        </w:r>
        <w:r w:rsidR="00B335A9">
          <w:rPr>
            <w:rStyle w:val="Hyperlink"/>
            <w:sz w:val="20"/>
            <w:szCs w:val="20"/>
          </w:rPr>
          <w:t>01</w:t>
        </w:r>
        <w:r w:rsidRPr="005D56C4">
          <w:rPr>
            <w:rStyle w:val="Hyperlink"/>
            <w:sz w:val="20"/>
            <w:szCs w:val="20"/>
          </w:rPr>
          <w:t>)</w:t>
        </w:r>
      </w:hyperlink>
      <w:r w:rsidRPr="005D56C4">
        <w:rPr>
          <w:sz w:val="20"/>
          <w:szCs w:val="20"/>
        </w:rPr>
        <w:t xml:space="preserve"> explain why power should not be used for interpreting results.</w:t>
      </w:r>
      <w:r w:rsidR="00793109">
        <w:rPr>
          <w:sz w:val="20"/>
          <w:szCs w:val="20"/>
        </w:rPr>
        <w:t xml:space="preserve"> </w:t>
      </w:r>
      <w:hyperlink r:id="rId27">
        <w:r w:rsidRPr="005D56C4">
          <w:rPr>
            <w:rStyle w:val="Hyperlink"/>
            <w:sz w:val="20"/>
            <w:szCs w:val="20"/>
          </w:rPr>
          <w:t>Gelman and Carlin (2014)</w:t>
        </w:r>
      </w:hyperlink>
      <w:r w:rsidRPr="005D56C4">
        <w:rPr>
          <w:sz w:val="20"/>
          <w:szCs w:val="20"/>
        </w:rPr>
        <w:t xml:space="preserve"> explain the pernicious effects of filtering on statistical signif</w:t>
      </w:r>
      <w:r w:rsidR="004C1A20">
        <w:rPr>
          <w:sz w:val="20"/>
          <w:szCs w:val="20"/>
        </w:rPr>
        <w:t>i</w:t>
      </w:r>
      <w:r w:rsidRPr="005D56C4">
        <w:rPr>
          <w:sz w:val="20"/>
          <w:szCs w:val="20"/>
        </w:rPr>
        <w:t xml:space="preserve">cance when power is low. </w:t>
      </w:r>
      <w:hyperlink r:id="rId28">
        <w:r w:rsidRPr="005D56C4">
          <w:rPr>
            <w:rStyle w:val="Hyperlink"/>
            <w:sz w:val="20"/>
            <w:szCs w:val="20"/>
          </w:rPr>
          <w:t>Arel-Bundock et al. (2025)</w:t>
        </w:r>
      </w:hyperlink>
      <w:r w:rsidRPr="005D56C4">
        <w:rPr>
          <w:sz w:val="20"/>
          <w:szCs w:val="20"/>
        </w:rPr>
        <w:t xml:space="preserve"> show that observed power in political science is very low. </w:t>
      </w:r>
      <w:hyperlink r:id="rId29">
        <w:r w:rsidRPr="005D56C4">
          <w:rPr>
            <w:rStyle w:val="Hyperlink"/>
            <w:sz w:val="20"/>
            <w:szCs w:val="20"/>
          </w:rPr>
          <w:t xml:space="preserve">Ioannidis, Stanley, and </w:t>
        </w:r>
        <w:proofErr w:type="spellStart"/>
        <w:r w:rsidRPr="005D56C4">
          <w:rPr>
            <w:rStyle w:val="Hyperlink"/>
            <w:sz w:val="20"/>
            <w:szCs w:val="20"/>
          </w:rPr>
          <w:t>Doucouliagos</w:t>
        </w:r>
        <w:proofErr w:type="spellEnd"/>
        <w:r w:rsidRPr="005D56C4">
          <w:rPr>
            <w:rStyle w:val="Hyperlink"/>
            <w:sz w:val="20"/>
            <w:szCs w:val="20"/>
          </w:rPr>
          <w:t xml:space="preserve"> (2017)</w:t>
        </w:r>
      </w:hyperlink>
      <w:r w:rsidRPr="005D56C4">
        <w:rPr>
          <w:sz w:val="20"/>
          <w:szCs w:val="20"/>
        </w:rPr>
        <w:t xml:space="preserve"> examine economics; </w:t>
      </w:r>
      <w:hyperlink r:id="rId30">
        <w:r w:rsidRPr="005D56C4">
          <w:rPr>
            <w:rStyle w:val="Hyperlink"/>
            <w:sz w:val="20"/>
            <w:szCs w:val="20"/>
          </w:rPr>
          <w:t xml:space="preserve">Stanley, Carter, and </w:t>
        </w:r>
        <w:proofErr w:type="spellStart"/>
        <w:r w:rsidRPr="005D56C4">
          <w:rPr>
            <w:rStyle w:val="Hyperlink"/>
            <w:sz w:val="20"/>
            <w:szCs w:val="20"/>
          </w:rPr>
          <w:t>Doucouliagos</w:t>
        </w:r>
        <w:proofErr w:type="spellEnd"/>
        <w:r w:rsidRPr="005D56C4">
          <w:rPr>
            <w:rStyle w:val="Hyperlink"/>
            <w:sz w:val="20"/>
            <w:szCs w:val="20"/>
          </w:rPr>
          <w:t xml:space="preserve"> (2018)</w:t>
        </w:r>
      </w:hyperlink>
      <w:r w:rsidRPr="005D56C4">
        <w:rPr>
          <w:sz w:val="20"/>
          <w:szCs w:val="20"/>
        </w:rPr>
        <w:t xml:space="preserve"> examine psychology.</w:t>
      </w:r>
    </w:p>
    <w:p w14:paraId="2790D7FE" w14:textId="5C28446A" w:rsidR="005D56C4" w:rsidRPr="005D56C4" w:rsidRDefault="00BD256B" w:rsidP="005D56C4">
      <w:pPr>
        <w:rPr>
          <w:sz w:val="20"/>
          <w:szCs w:val="20"/>
        </w:rPr>
      </w:pPr>
      <w:hyperlink r:id="rId31">
        <w:proofErr w:type="spellStart"/>
        <w:r>
          <w:rPr>
            <w:rStyle w:val="Hyperlink"/>
            <w:sz w:val="20"/>
            <w:szCs w:val="20"/>
          </w:rPr>
          <w:t>Meyvis</w:t>
        </w:r>
        <w:proofErr w:type="spellEnd"/>
        <w:r>
          <w:rPr>
            <w:rStyle w:val="Hyperlink"/>
            <w:sz w:val="20"/>
            <w:szCs w:val="20"/>
          </w:rPr>
          <w:t xml:space="preserve"> and van </w:t>
        </w:r>
        <w:proofErr w:type="spellStart"/>
        <w:r>
          <w:rPr>
            <w:rStyle w:val="Hyperlink"/>
            <w:sz w:val="20"/>
            <w:szCs w:val="20"/>
          </w:rPr>
          <w:t>Osselaer</w:t>
        </w:r>
        <w:proofErr w:type="spellEnd"/>
        <w:r>
          <w:rPr>
            <w:rStyle w:val="Hyperlink"/>
            <w:sz w:val="20"/>
            <w:szCs w:val="20"/>
          </w:rPr>
          <w:t xml:space="preserve"> (2018)</w:t>
        </w:r>
      </w:hyperlink>
      <w:r w:rsidR="005D56C4" w:rsidRPr="005D56C4">
        <w:rPr>
          <w:sz w:val="20"/>
          <w:szCs w:val="20"/>
        </w:rPr>
        <w:t xml:space="preserve"> discuss regression adjustment in the context of experiments. </w:t>
      </w:r>
      <w:hyperlink r:id="rId32">
        <w:r w:rsidR="005D56C4" w:rsidRPr="005D56C4">
          <w:rPr>
            <w:rStyle w:val="Hyperlink"/>
            <w:sz w:val="20"/>
            <w:szCs w:val="20"/>
          </w:rPr>
          <w:t>Clifford, Sheagley, and Piston (2021)</w:t>
        </w:r>
      </w:hyperlink>
      <w:r w:rsidR="005D56C4" w:rsidRPr="005D56C4">
        <w:rPr>
          <w:sz w:val="20"/>
          <w:szCs w:val="20"/>
        </w:rPr>
        <w:t xml:space="preserve"> show huge boosts in power of the </w:t>
      </w:r>
      <w:r>
        <w:rPr>
          <w:sz w:val="20"/>
          <w:szCs w:val="20"/>
        </w:rPr>
        <w:t>pre–post</w:t>
      </w:r>
      <w:r w:rsidR="005D56C4" w:rsidRPr="005D56C4">
        <w:rPr>
          <w:sz w:val="20"/>
          <w:szCs w:val="20"/>
        </w:rPr>
        <w:t xml:space="preserve"> d</w:t>
      </w:r>
      <w:r w:rsidR="00A56F6F">
        <w:rPr>
          <w:sz w:val="20"/>
          <w:szCs w:val="20"/>
        </w:rPr>
        <w:t>e</w:t>
      </w:r>
      <w:r w:rsidR="005D56C4" w:rsidRPr="005D56C4">
        <w:rPr>
          <w:sz w:val="20"/>
          <w:szCs w:val="20"/>
        </w:rPr>
        <w:t xml:space="preserve">sign; </w:t>
      </w:r>
      <w:hyperlink r:id="rId33">
        <w:r w:rsidR="005D56C4" w:rsidRPr="005D56C4">
          <w:rPr>
            <w:rStyle w:val="Hyperlink"/>
            <w:sz w:val="20"/>
            <w:szCs w:val="20"/>
          </w:rPr>
          <w:t>Jordan, Ollerenshaw, and Trexler (2025)</w:t>
        </w:r>
      </w:hyperlink>
      <w:r w:rsidR="005D56C4" w:rsidRPr="005D56C4">
        <w:rPr>
          <w:sz w:val="20"/>
          <w:szCs w:val="20"/>
        </w:rPr>
        <w:t xml:space="preserve"> validate their findings.</w:t>
      </w:r>
    </w:p>
    <w:p w14:paraId="676BFB43" w14:textId="4D2ED2EB" w:rsidR="00252582" w:rsidRPr="000509B1" w:rsidRDefault="005D56C4" w:rsidP="00B335A9">
      <w:pPr>
        <w:rPr>
          <w:sz w:val="20"/>
          <w:szCs w:val="20"/>
        </w:rPr>
      </w:pPr>
      <w:hyperlink r:id="rId34">
        <w:proofErr w:type="spellStart"/>
        <w:r w:rsidRPr="005D56C4">
          <w:rPr>
            <w:rStyle w:val="Hyperlink"/>
            <w:sz w:val="20"/>
            <w:szCs w:val="20"/>
          </w:rPr>
          <w:t>Lakens</w:t>
        </w:r>
        <w:proofErr w:type="spellEnd"/>
        <w:r w:rsidRPr="005D56C4">
          <w:rPr>
            <w:rStyle w:val="Hyperlink"/>
            <w:sz w:val="20"/>
            <w:szCs w:val="20"/>
          </w:rPr>
          <w:t xml:space="preserve"> (2022)</w:t>
        </w:r>
      </w:hyperlink>
      <w:r w:rsidRPr="005D56C4">
        <w:rPr>
          <w:sz w:val="20"/>
          <w:szCs w:val="20"/>
        </w:rPr>
        <w:t xml:space="preserve"> offers a broader perspective on sample size justification beyond statistical power. </w:t>
      </w:r>
      <w:hyperlink r:id="rId35">
        <w:r w:rsidRPr="005D56C4">
          <w:rPr>
            <w:rStyle w:val="Hyperlink"/>
            <w:sz w:val="20"/>
            <w:szCs w:val="20"/>
          </w:rPr>
          <w:t>Blair et al. (2019)</w:t>
        </w:r>
      </w:hyperlink>
      <w:r w:rsidRPr="005D56C4">
        <w:rPr>
          <w:sz w:val="20"/>
          <w:szCs w:val="20"/>
        </w:rPr>
        <w:t xml:space="preserve"> and </w:t>
      </w:r>
      <w:hyperlink r:id="rId36">
        <w:r w:rsidRPr="005D56C4">
          <w:rPr>
            <w:rStyle w:val="Hyperlink"/>
            <w:sz w:val="20"/>
            <w:szCs w:val="20"/>
          </w:rPr>
          <w:t>Blair, Coppock, and Humphreys (2023)</w:t>
        </w:r>
      </w:hyperlink>
      <w:r w:rsidRPr="005D56C4">
        <w:rPr>
          <w:sz w:val="20"/>
          <w:szCs w:val="20"/>
        </w:rPr>
        <w:t xml:space="preserve"> offer a useful co</w:t>
      </w:r>
      <w:r w:rsidR="003B1CC2">
        <w:rPr>
          <w:sz w:val="20"/>
          <w:szCs w:val="20"/>
        </w:rPr>
        <w:t>n</w:t>
      </w:r>
      <w:r w:rsidRPr="005D56C4">
        <w:rPr>
          <w:sz w:val="20"/>
          <w:szCs w:val="20"/>
        </w:rPr>
        <w:t>ceptual framework and software for comprehensive evaluation of research designs.</w:t>
      </w:r>
    </w:p>
    <w:sectPr w:rsidR="00252582" w:rsidRPr="000509B1" w:rsidSect="002F371A">
      <w:type w:val="continuous"/>
      <w:pgSz w:w="11906" w:h="16838"/>
      <w:pgMar w:top="720" w:right="720" w:bottom="720" w:left="720" w:header="720" w:footer="720" w:gutter="0"/>
      <w:cols w:num="2" w:space="70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GILL SANS SEMIBOLD">
    <w:panose1 w:val="020B0702020104020203"/>
    <w:charset w:val="00"/>
    <w:family w:val="swiss"/>
    <w:pitch w:val="variable"/>
    <w:sig w:usb0="8000026F" w:usb1="5000004A" w:usb2="00000000" w:usb3="00000000" w:csb0="00000005" w:csb1="00000000"/>
  </w:font>
  <w:font w:name="Aptos Display">
    <w:panose1 w:val="020B0004020202020204"/>
    <w:charset w:val="00"/>
    <w:family w:val="swiss"/>
    <w:pitch w:val="variable"/>
    <w:sig w:usb0="20000287" w:usb1="00000003" w:usb2="00000000" w:usb3="00000000" w:csb0="0000019F" w:csb1="00000000"/>
  </w:font>
  <w:font w:name="Gill Sans Light">
    <w:altName w:val="GILL SANS LIGHT"/>
    <w:panose1 w:val="020B0302020104020203"/>
    <w:charset w:val="B1"/>
    <w:family w:val="swiss"/>
    <w:pitch w:val="variable"/>
    <w:sig w:usb0="80000A67" w:usb1="00000000" w:usb2="00000000" w:usb3="00000000" w:csb0="000001F7" w:csb1="00000000"/>
  </w:font>
  <w:font w:name="STIX Two Math">
    <w:panose1 w:val="02020603050405020304"/>
    <w:charset w:val="00"/>
    <w:family w:val="roman"/>
    <w:notTrueType/>
    <w:pitch w:val="variable"/>
    <w:sig w:usb0="A00002FF" w:usb1="4000FDFF" w:usb2="0200002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97173"/>
    <w:multiLevelType w:val="hybridMultilevel"/>
    <w:tmpl w:val="02C0F9E4"/>
    <w:lvl w:ilvl="0" w:tplc="FAE237DE">
      <w:start w:val="1"/>
      <w:numFmt w:val="bullet"/>
      <w:lvlText w:val=""/>
      <w:lvlJc w:val="left"/>
      <w:pPr>
        <w:ind w:left="216" w:hanging="216"/>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EF5729D"/>
    <w:multiLevelType w:val="hybridMultilevel"/>
    <w:tmpl w:val="6D2474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1D35DA1"/>
    <w:multiLevelType w:val="hybridMultilevel"/>
    <w:tmpl w:val="5B62223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 w15:restartNumberingAfterBreak="0">
    <w:nsid w:val="245F16DC"/>
    <w:multiLevelType w:val="hybridMultilevel"/>
    <w:tmpl w:val="5822A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A2050FE"/>
    <w:multiLevelType w:val="multilevel"/>
    <w:tmpl w:val="87C403E2"/>
    <w:styleLink w:val="CurrentList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3FE97FB9"/>
    <w:multiLevelType w:val="hybridMultilevel"/>
    <w:tmpl w:val="87C403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5813888"/>
    <w:multiLevelType w:val="multilevel"/>
    <w:tmpl w:val="6D247450"/>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68263FDB"/>
    <w:multiLevelType w:val="hybridMultilevel"/>
    <w:tmpl w:val="FE06F6FC"/>
    <w:lvl w:ilvl="0" w:tplc="1E2E347E">
      <w:start w:val="1"/>
      <w:numFmt w:val="bullet"/>
      <w:lvlText w:val=""/>
      <w:lvlJc w:val="left"/>
      <w:pPr>
        <w:ind w:left="216" w:hanging="216"/>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301082480">
    <w:abstractNumId w:val="5"/>
  </w:num>
  <w:num w:numId="2" w16cid:durableId="1790004589">
    <w:abstractNumId w:val="2"/>
  </w:num>
  <w:num w:numId="3" w16cid:durableId="1112289580">
    <w:abstractNumId w:val="3"/>
  </w:num>
  <w:num w:numId="4" w16cid:durableId="852188433">
    <w:abstractNumId w:val="1"/>
  </w:num>
  <w:num w:numId="5" w16cid:durableId="2111076907">
    <w:abstractNumId w:val="6"/>
  </w:num>
  <w:num w:numId="6" w16cid:durableId="1844583935">
    <w:abstractNumId w:val="7"/>
  </w:num>
  <w:num w:numId="7" w16cid:durableId="1621910884">
    <w:abstractNumId w:val="4"/>
  </w:num>
  <w:num w:numId="8" w16cid:durableId="522985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DD6"/>
    <w:rsid w:val="000218BF"/>
    <w:rsid w:val="000509B1"/>
    <w:rsid w:val="00202FB8"/>
    <w:rsid w:val="00204321"/>
    <w:rsid w:val="0024629A"/>
    <w:rsid w:val="00252582"/>
    <w:rsid w:val="00264812"/>
    <w:rsid w:val="002F371A"/>
    <w:rsid w:val="003B1CC2"/>
    <w:rsid w:val="003D3520"/>
    <w:rsid w:val="004C1A20"/>
    <w:rsid w:val="00557575"/>
    <w:rsid w:val="005B3722"/>
    <w:rsid w:val="005D56C4"/>
    <w:rsid w:val="006A5293"/>
    <w:rsid w:val="00707D57"/>
    <w:rsid w:val="00793109"/>
    <w:rsid w:val="007B62E4"/>
    <w:rsid w:val="009C3EAF"/>
    <w:rsid w:val="00A01990"/>
    <w:rsid w:val="00A34D68"/>
    <w:rsid w:val="00A56F6F"/>
    <w:rsid w:val="00AA21F3"/>
    <w:rsid w:val="00AE7635"/>
    <w:rsid w:val="00B335A9"/>
    <w:rsid w:val="00B36F48"/>
    <w:rsid w:val="00B50F88"/>
    <w:rsid w:val="00BD256B"/>
    <w:rsid w:val="00C33A30"/>
    <w:rsid w:val="00C92BFA"/>
    <w:rsid w:val="00CB527D"/>
    <w:rsid w:val="00D2518C"/>
    <w:rsid w:val="00D3471E"/>
    <w:rsid w:val="00D81362"/>
    <w:rsid w:val="00DB1DD6"/>
    <w:rsid w:val="00DD3A8C"/>
    <w:rsid w:val="00F56740"/>
    <w:rsid w:val="00FD2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5BB25"/>
  <w15:chartTrackingRefBased/>
  <w15:docId w15:val="{C9612B7E-3C37-4041-B93F-05A9F217B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2E4"/>
    <w:pPr>
      <w:spacing w:after="40" w:line="240" w:lineRule="atLeast"/>
      <w:ind w:firstLine="144"/>
    </w:pPr>
    <w:rPr>
      <w:rFonts w:ascii="Baskerville" w:hAnsi="Baskerville"/>
      <w:sz w:val="21"/>
    </w:rPr>
  </w:style>
  <w:style w:type="paragraph" w:styleId="Heading1">
    <w:name w:val="heading 1"/>
    <w:basedOn w:val="Normal"/>
    <w:next w:val="Normal"/>
    <w:link w:val="Heading1Char"/>
    <w:uiPriority w:val="9"/>
    <w:qFormat/>
    <w:rsid w:val="002F371A"/>
    <w:pPr>
      <w:keepNext/>
      <w:keepLines/>
      <w:spacing w:before="80" w:after="80"/>
      <w:ind w:firstLine="0"/>
      <w:outlineLvl w:val="0"/>
    </w:pPr>
    <w:rPr>
      <w:rFonts w:ascii="GILL SANS SEMIBOLD" w:eastAsiaTheme="majorEastAsia" w:hAnsi="GILL SANS SEMIBOLD" w:cstheme="majorBidi"/>
      <w:b/>
      <w:bCs/>
      <w:color w:val="C00000"/>
    </w:rPr>
  </w:style>
  <w:style w:type="paragraph" w:styleId="Heading2">
    <w:name w:val="heading 2"/>
    <w:basedOn w:val="Normal"/>
    <w:next w:val="Normal"/>
    <w:link w:val="Heading2Char"/>
    <w:uiPriority w:val="9"/>
    <w:semiHidden/>
    <w:unhideWhenUsed/>
    <w:qFormat/>
    <w:rsid w:val="00DB1D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1D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1DD6"/>
    <w:pPr>
      <w:keepNext/>
      <w:keepLines/>
      <w:spacing w:before="8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1DD6"/>
    <w:pPr>
      <w:keepNext/>
      <w:keepLines/>
      <w:spacing w:before="8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1D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1D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1D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1D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71A"/>
    <w:rPr>
      <w:rFonts w:ascii="GILL SANS SEMIBOLD" w:eastAsiaTheme="majorEastAsia" w:hAnsi="GILL SANS SEMIBOLD" w:cstheme="majorBidi"/>
      <w:b/>
      <w:bCs/>
      <w:color w:val="C00000"/>
    </w:rPr>
  </w:style>
  <w:style w:type="character" w:customStyle="1" w:styleId="Heading2Char">
    <w:name w:val="Heading 2 Char"/>
    <w:basedOn w:val="DefaultParagraphFont"/>
    <w:link w:val="Heading2"/>
    <w:uiPriority w:val="9"/>
    <w:semiHidden/>
    <w:rsid w:val="00DB1D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1D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1D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1D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1D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1D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1D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1DD6"/>
    <w:rPr>
      <w:rFonts w:eastAsiaTheme="majorEastAsia" w:cstheme="majorBidi"/>
      <w:color w:val="272727" w:themeColor="text1" w:themeTint="D8"/>
    </w:rPr>
  </w:style>
  <w:style w:type="paragraph" w:styleId="Title">
    <w:name w:val="Title"/>
    <w:basedOn w:val="Normal"/>
    <w:next w:val="Normal"/>
    <w:link w:val="TitleChar"/>
    <w:uiPriority w:val="10"/>
    <w:qFormat/>
    <w:rsid w:val="00DB1D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D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1DD6"/>
    <w:pPr>
      <w:numPr>
        <w:ilvl w:val="1"/>
      </w:numPr>
      <w:ind w:firstLine="144"/>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1D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1DD6"/>
    <w:pPr>
      <w:spacing w:before="160"/>
      <w:jc w:val="center"/>
    </w:pPr>
    <w:rPr>
      <w:i/>
      <w:iCs/>
      <w:color w:val="404040" w:themeColor="text1" w:themeTint="BF"/>
    </w:rPr>
  </w:style>
  <w:style w:type="character" w:customStyle="1" w:styleId="QuoteChar">
    <w:name w:val="Quote Char"/>
    <w:basedOn w:val="DefaultParagraphFont"/>
    <w:link w:val="Quote"/>
    <w:uiPriority w:val="29"/>
    <w:rsid w:val="00DB1DD6"/>
    <w:rPr>
      <w:i/>
      <w:iCs/>
      <w:color w:val="404040" w:themeColor="text1" w:themeTint="BF"/>
    </w:rPr>
  </w:style>
  <w:style w:type="paragraph" w:styleId="ListParagraph">
    <w:name w:val="List Paragraph"/>
    <w:basedOn w:val="Normal"/>
    <w:uiPriority w:val="34"/>
    <w:qFormat/>
    <w:rsid w:val="00DB1DD6"/>
    <w:pPr>
      <w:ind w:left="720"/>
      <w:contextualSpacing/>
    </w:pPr>
  </w:style>
  <w:style w:type="character" w:styleId="IntenseEmphasis">
    <w:name w:val="Intense Emphasis"/>
    <w:basedOn w:val="DefaultParagraphFont"/>
    <w:uiPriority w:val="21"/>
    <w:qFormat/>
    <w:rsid w:val="00DB1DD6"/>
    <w:rPr>
      <w:i/>
      <w:iCs/>
      <w:color w:val="0F4761" w:themeColor="accent1" w:themeShade="BF"/>
    </w:rPr>
  </w:style>
  <w:style w:type="paragraph" w:styleId="IntenseQuote">
    <w:name w:val="Intense Quote"/>
    <w:basedOn w:val="Normal"/>
    <w:next w:val="Normal"/>
    <w:link w:val="IntenseQuoteChar"/>
    <w:uiPriority w:val="30"/>
    <w:qFormat/>
    <w:rsid w:val="00DB1D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1DD6"/>
    <w:rPr>
      <w:i/>
      <w:iCs/>
      <w:color w:val="0F4761" w:themeColor="accent1" w:themeShade="BF"/>
    </w:rPr>
  </w:style>
  <w:style w:type="character" w:styleId="IntenseReference">
    <w:name w:val="Intense Reference"/>
    <w:basedOn w:val="DefaultParagraphFont"/>
    <w:uiPriority w:val="32"/>
    <w:qFormat/>
    <w:rsid w:val="00DB1DD6"/>
    <w:rPr>
      <w:b/>
      <w:bCs/>
      <w:smallCaps/>
      <w:color w:val="0F4761" w:themeColor="accent1" w:themeShade="BF"/>
      <w:spacing w:val="5"/>
    </w:rPr>
  </w:style>
  <w:style w:type="character" w:styleId="PlaceholderText">
    <w:name w:val="Placeholder Text"/>
    <w:basedOn w:val="DefaultParagraphFont"/>
    <w:uiPriority w:val="99"/>
    <w:semiHidden/>
    <w:rsid w:val="00CB527D"/>
    <w:rPr>
      <w:color w:val="666666"/>
    </w:rPr>
  </w:style>
  <w:style w:type="character" w:styleId="Hyperlink">
    <w:name w:val="Hyperlink"/>
    <w:basedOn w:val="DefaultParagraphFont"/>
    <w:uiPriority w:val="99"/>
    <w:unhideWhenUsed/>
    <w:rsid w:val="00DD3A8C"/>
    <w:rPr>
      <w:color w:val="auto"/>
      <w:u w:val="single" w:color="BFBFBF" w:themeColor="background1" w:themeShade="BF"/>
    </w:rPr>
  </w:style>
  <w:style w:type="character" w:styleId="UnresolvedMention">
    <w:name w:val="Unresolved Mention"/>
    <w:basedOn w:val="DefaultParagraphFont"/>
    <w:uiPriority w:val="99"/>
    <w:semiHidden/>
    <w:unhideWhenUsed/>
    <w:rsid w:val="00252582"/>
    <w:rPr>
      <w:color w:val="605E5C"/>
      <w:shd w:val="clear" w:color="auto" w:fill="E1DFDD"/>
    </w:rPr>
  </w:style>
  <w:style w:type="character" w:styleId="FollowedHyperlink">
    <w:name w:val="FollowedHyperlink"/>
    <w:basedOn w:val="DefaultParagraphFont"/>
    <w:uiPriority w:val="99"/>
    <w:semiHidden/>
    <w:unhideWhenUsed/>
    <w:rsid w:val="00AE7635"/>
    <w:rPr>
      <w:color w:val="96607D" w:themeColor="followedHyperlink"/>
      <w:u w:val="single"/>
    </w:rPr>
  </w:style>
  <w:style w:type="numbering" w:customStyle="1" w:styleId="CurrentList1">
    <w:name w:val="Current List1"/>
    <w:uiPriority w:val="99"/>
    <w:rsid w:val="00204321"/>
    <w:pPr>
      <w:numPr>
        <w:numId w:val="5"/>
      </w:numPr>
    </w:pPr>
  </w:style>
  <w:style w:type="numbering" w:customStyle="1" w:styleId="CurrentList2">
    <w:name w:val="Current List2"/>
    <w:uiPriority w:val="99"/>
    <w:rsid w:val="00204321"/>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77/0193841X9501900504" TargetMode="External"/><Relationship Id="rId18" Type="http://schemas.openxmlformats.org/officeDocument/2006/relationships/hyperlink" Target="https://doi.org/10.1093/jcr/ucx110" TargetMode="External"/><Relationship Id="rId26" Type="http://schemas.openxmlformats.org/officeDocument/2006/relationships/hyperlink" Target="https://doi.org/10.1198/000313001300339897" TargetMode="External"/><Relationship Id="rId21" Type="http://schemas.openxmlformats.org/officeDocument/2006/relationships/hyperlink" Target="https://doi.org/10.1177/2515245918770963" TargetMode="External"/><Relationship Id="rId34" Type="http://schemas.openxmlformats.org/officeDocument/2006/relationships/hyperlink" Target="https://doi.org/10.1525/collabra.33267" TargetMode="External"/><Relationship Id="rId7" Type="http://schemas.openxmlformats.org/officeDocument/2006/relationships/hyperlink" Target="https://doi.org/10.31219/osf.io/5am9q" TargetMode="External"/><Relationship Id="rId12" Type="http://schemas.openxmlformats.org/officeDocument/2006/relationships/hyperlink" Target="https://doi.org/10.1201/9781003456285" TargetMode="External"/><Relationship Id="rId17" Type="http://schemas.openxmlformats.org/officeDocument/2006/relationships/hyperlink" Target="https://doi.org/10.1198/000313001317098149" TargetMode="External"/><Relationship Id="rId25" Type="http://schemas.openxmlformats.org/officeDocument/2006/relationships/hyperlink" Target="https://doi.org/10.1177/1745691614528519" TargetMode="External"/><Relationship Id="rId33" Type="http://schemas.openxmlformats.org/officeDocument/2006/relationships/hyperlink" Target="https://doi.org/10.31219/osf.io/q6czp_v2"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37/0033-2909.112.1.155" TargetMode="External"/><Relationship Id="rId20" Type="http://schemas.openxmlformats.org/officeDocument/2006/relationships/hyperlink" Target="https://www.carlislerainey.com/papers/meaningful.pdf" TargetMode="External"/><Relationship Id="rId29" Type="http://schemas.openxmlformats.org/officeDocument/2006/relationships/hyperlink" Target="https://doi.org/10.1111/ecoj.12461" TargetMode="External"/><Relationship Id="rId1" Type="http://schemas.openxmlformats.org/officeDocument/2006/relationships/customXml" Target="../customXml/item1.xml"/><Relationship Id="rId6" Type="http://schemas.openxmlformats.org/officeDocument/2006/relationships/hyperlink" Target="https://doi.org/10.31219/osf.io/5am9q" TargetMode="External"/><Relationship Id="rId11" Type="http://schemas.openxmlformats.org/officeDocument/2006/relationships/hyperlink" Target="https://www.pearson.com/en-us/subject-catalog/p/probability-and-statistics-classic-version/P200000006163/9780137981694" TargetMode="External"/><Relationship Id="rId24" Type="http://schemas.openxmlformats.org/officeDocument/2006/relationships/hyperlink" Target="https://doi.org/10.1016/j.jesp.2017.09.004" TargetMode="External"/><Relationship Id="rId32" Type="http://schemas.openxmlformats.org/officeDocument/2006/relationships/hyperlink" Target="https://doi.org/10.1017/S0003055421000241"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07/s10654-016-0149-3" TargetMode="External"/><Relationship Id="rId23" Type="http://schemas.openxmlformats.org/officeDocument/2006/relationships/hyperlink" Target="https://doi.org/10.1016/j.jpsychires.2010.10.008" TargetMode="External"/><Relationship Id="rId28" Type="http://schemas.openxmlformats.org/officeDocument/2006/relationships/hyperlink" Target="https://doi.org/10.1086/734279" TargetMode="External"/><Relationship Id="rId36" Type="http://schemas.openxmlformats.org/officeDocument/2006/relationships/hyperlink" Target="https://book.declaredesign.org/" TargetMode="External"/><Relationship Id="rId10" Type="http://schemas.openxmlformats.org/officeDocument/2006/relationships/hyperlink" Target="https://users.cla.umn.edu/~nwaller/prelim/cohensofar.pdf" TargetMode="External"/><Relationship Id="rId19" Type="http://schemas.openxmlformats.org/officeDocument/2006/relationships/hyperlink" Target="https://www.carlislerainey.com/papers/nme.pdf" TargetMode="External"/><Relationship Id="rId31" Type="http://schemas.openxmlformats.org/officeDocument/2006/relationships/hyperlink" Target="https://doi.org/10.1093/jcr/ucx110" TargetMode="External"/><Relationship Id="rId4" Type="http://schemas.openxmlformats.org/officeDocument/2006/relationships/settings" Target="settings.xml"/><Relationship Id="rId9" Type="http://schemas.openxmlformats.org/officeDocument/2006/relationships/hyperlink" Target="https://doi.org/10.4324/9780203771587" TargetMode="External"/><Relationship Id="rId14" Type="http://schemas.openxmlformats.org/officeDocument/2006/relationships/hyperlink" Target="https://doi.org/10.31219/osf.io/5am9q" TargetMode="External"/><Relationship Id="rId22" Type="http://schemas.openxmlformats.org/officeDocument/2006/relationships/hyperlink" Target="https://doi.org/10.1002/ejsp.2752" TargetMode="External"/><Relationship Id="rId27" Type="http://schemas.openxmlformats.org/officeDocument/2006/relationships/hyperlink" Target="https://doi.org/10.1177/1745691614551642" TargetMode="External"/><Relationship Id="rId30" Type="http://schemas.openxmlformats.org/officeDocument/2006/relationships/hyperlink" Target="https://doi.org/10.1037/bul0000169" TargetMode="External"/><Relationship Id="rId35" Type="http://schemas.openxmlformats.org/officeDocument/2006/relationships/hyperlink" Target="https://doi.org/10.1017/S0003055419000194" TargetMode="External"/><Relationship Id="rId8" Type="http://schemas.openxmlformats.org/officeDocument/2006/relationships/hyperlink" Target="https://users.cla.umn.edu/~nwaller/prelim/cohensofar.pd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136A0-E322-C94F-B140-E3DBC3E62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Pages>
  <Words>1218</Words>
  <Characters>6944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Carlisle</dc:creator>
  <cp:keywords/>
  <dc:description/>
  <cp:lastModifiedBy>Carlisle</cp:lastModifiedBy>
  <cp:revision>6</cp:revision>
  <dcterms:created xsi:type="dcterms:W3CDTF">2025-08-19T08:52:00Z</dcterms:created>
  <dcterms:modified xsi:type="dcterms:W3CDTF">2025-08-31T09:42:00Z</dcterms:modified>
</cp:coreProperties>
</file>