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75267F" w14:textId="39A9FB1B" w:rsidR="00141CFA" w:rsidRPr="00E11B1D" w:rsidRDefault="00A831F5" w:rsidP="00E11B1D">
      <w:pPr>
        <w:pStyle w:val="Title"/>
      </w:pPr>
      <w:bookmarkStart w:id="0" w:name="h.wyvywahz4yjq" w:colFirst="0" w:colLast="0"/>
      <w:bookmarkEnd w:id="0"/>
      <w:r w:rsidRPr="00E11B1D">
        <w:t>Unreliable Inferences about Unobserved Processes</w:t>
      </w:r>
      <w:bookmarkStart w:id="1" w:name="h.jpef13cwxh4h" w:colFirst="0" w:colLast="0"/>
      <w:bookmarkEnd w:id="1"/>
    </w:p>
    <w:p w14:paraId="25D590E0" w14:textId="4B1DAE2F" w:rsidR="00FA4BAA" w:rsidRPr="00E11B1D" w:rsidRDefault="00A831F5" w:rsidP="00E11B1D">
      <w:pPr>
        <w:pStyle w:val="Subtitle"/>
      </w:pPr>
      <w:r w:rsidRPr="00E11B1D">
        <w:t>A Critique of Partial Observability Models</w:t>
      </w:r>
      <w:r w:rsidR="009D7813" w:rsidRPr="00E11B1D">
        <w:rPr>
          <w:rStyle w:val="FootnoteReference"/>
          <w:vertAlign w:val="baseline"/>
        </w:rPr>
        <w:footnoteReference w:customMarkFollows="1" w:id="1"/>
        <w:t>*</w:t>
      </w:r>
    </w:p>
    <w:p w14:paraId="4CB01A63" w14:textId="77777777" w:rsidR="00E11B1D" w:rsidRDefault="00E11B1D" w:rsidP="00E11B1D">
      <w:pPr>
        <w:pStyle w:val="Normal1"/>
        <w:spacing w:before="120" w:line="240" w:lineRule="auto"/>
        <w:ind w:firstLine="0"/>
        <w:contextualSpacing w:val="0"/>
        <w:jc w:val="center"/>
        <w:rPr>
          <w:rFonts w:asciiTheme="minorHAnsi" w:hAnsiTheme="minorHAnsi"/>
          <w:color w:val="auto"/>
          <w:sz w:val="22"/>
          <w:szCs w:val="22"/>
        </w:rPr>
      </w:pPr>
    </w:p>
    <w:p w14:paraId="5FCFE1C5" w14:textId="33792F70" w:rsidR="00BD2C02" w:rsidRPr="00E11B1D" w:rsidRDefault="00A831F5" w:rsidP="00E11B1D">
      <w:pPr>
        <w:pStyle w:val="Normal1"/>
        <w:spacing w:before="120" w:line="240" w:lineRule="auto"/>
        <w:ind w:firstLine="0"/>
        <w:contextualSpacing w:val="0"/>
        <w:jc w:val="center"/>
        <w:rPr>
          <w:rStyle w:val="FootnoteReference"/>
          <w:rFonts w:asciiTheme="minorHAnsi" w:hAnsiTheme="minorHAnsi"/>
          <w:sz w:val="22"/>
          <w:szCs w:val="22"/>
          <w:vertAlign w:val="baseline"/>
        </w:rPr>
      </w:pPr>
      <w:r w:rsidRPr="00E11B1D">
        <w:rPr>
          <w:rFonts w:asciiTheme="minorHAnsi" w:hAnsiTheme="minorHAnsi"/>
          <w:color w:val="auto"/>
          <w:sz w:val="22"/>
          <w:szCs w:val="22"/>
        </w:rPr>
        <w:t>Carlisle Rainey</w:t>
      </w:r>
      <w:r w:rsidR="00BD2C02" w:rsidRPr="00E11B1D">
        <w:rPr>
          <w:rStyle w:val="FootnoteReference"/>
          <w:rFonts w:asciiTheme="minorHAnsi" w:eastAsia="Arial Unicode MS" w:hAnsiTheme="minorHAnsi"/>
          <w:color w:val="auto"/>
          <w:sz w:val="22"/>
          <w:szCs w:val="22"/>
        </w:rPr>
        <w:footnoteReference w:customMarkFollows="1" w:id="2"/>
        <w:t>‡</w:t>
      </w:r>
      <w:r w:rsidR="00E11B1D">
        <w:rPr>
          <w:rFonts w:asciiTheme="minorHAnsi" w:eastAsia="Arial Unicode MS" w:hAnsiTheme="minorHAnsi"/>
          <w:color w:val="auto"/>
          <w:sz w:val="22"/>
          <w:szCs w:val="22"/>
        </w:rPr>
        <w:t xml:space="preserve"> and </w:t>
      </w:r>
      <w:r w:rsidR="00E11B1D" w:rsidRPr="00E11B1D">
        <w:rPr>
          <w:rFonts w:asciiTheme="minorHAnsi" w:hAnsiTheme="minorHAnsi"/>
          <w:sz w:val="22"/>
          <w:szCs w:val="22"/>
        </w:rPr>
        <w:t>R</w:t>
      </w:r>
      <w:r w:rsidRPr="00E11B1D">
        <w:rPr>
          <w:rFonts w:asciiTheme="minorHAnsi" w:hAnsiTheme="minorHAnsi"/>
          <w:color w:val="auto"/>
          <w:sz w:val="22"/>
          <w:szCs w:val="22"/>
        </w:rPr>
        <w:t>obert A. Jackson</w:t>
      </w:r>
      <w:r w:rsidR="00DB7CC7" w:rsidRPr="00E11B1D">
        <w:rPr>
          <w:rStyle w:val="FootnoteReference"/>
          <w:rFonts w:asciiTheme="minorHAnsi" w:eastAsia="Arial Unicode MS" w:hAnsiTheme="minorHAnsi"/>
          <w:color w:val="auto"/>
          <w:sz w:val="22"/>
          <w:szCs w:val="22"/>
        </w:rPr>
        <w:footnoteReference w:customMarkFollows="1" w:id="3"/>
        <w:t>†</w:t>
      </w:r>
      <w:bookmarkStart w:id="2" w:name="h.rmb7hdbxtrly" w:colFirst="0" w:colLast="0"/>
      <w:bookmarkEnd w:id="2"/>
    </w:p>
    <w:p w14:paraId="2B906429" w14:textId="77777777" w:rsidR="00FA4BAA" w:rsidRDefault="00FA4BAA" w:rsidP="00E11B1D">
      <w:pPr>
        <w:pStyle w:val="Heading1"/>
        <w:spacing w:line="240" w:lineRule="auto"/>
        <w:jc w:val="left"/>
      </w:pPr>
    </w:p>
    <w:p w14:paraId="1AF13596" w14:textId="77777777" w:rsidR="00E11B1D" w:rsidRDefault="00E11B1D" w:rsidP="003E267A">
      <w:pPr>
        <w:pStyle w:val="Heading1"/>
        <w:spacing w:line="240" w:lineRule="auto"/>
      </w:pPr>
    </w:p>
    <w:p w14:paraId="796C90B2" w14:textId="77777777" w:rsidR="0041562E" w:rsidRPr="00141CFA" w:rsidRDefault="00A831F5" w:rsidP="003E267A">
      <w:pPr>
        <w:pStyle w:val="Heading1"/>
        <w:spacing w:line="240" w:lineRule="auto"/>
      </w:pPr>
      <w:r w:rsidRPr="00141CFA">
        <w:t>Abstract</w:t>
      </w:r>
    </w:p>
    <w:p w14:paraId="5D5F31C3" w14:textId="38F60072" w:rsidR="00FA4BAA" w:rsidRPr="00E11B1D" w:rsidRDefault="005706F8" w:rsidP="002C7386">
      <w:pPr>
        <w:pStyle w:val="AbstractText"/>
        <w:spacing w:line="240" w:lineRule="auto"/>
        <w:ind w:firstLine="0"/>
        <w:rPr>
          <w:szCs w:val="22"/>
        </w:rPr>
      </w:pPr>
      <w:r w:rsidRPr="00FA4BAA">
        <w:rPr>
          <w:szCs w:val="22"/>
        </w:rPr>
        <w:t xml:space="preserve">Methodologists </w:t>
      </w:r>
      <w:r w:rsidR="00A84C24" w:rsidRPr="00FA4BAA">
        <w:rPr>
          <w:szCs w:val="22"/>
        </w:rPr>
        <w:t xml:space="preserve">and econometricians </w:t>
      </w:r>
      <w:r w:rsidRPr="00FA4BAA">
        <w:rPr>
          <w:szCs w:val="22"/>
        </w:rPr>
        <w:t xml:space="preserve">have begun to advocate the </w:t>
      </w:r>
      <w:r w:rsidR="00055BE6" w:rsidRPr="00FA4BAA">
        <w:rPr>
          <w:szCs w:val="22"/>
        </w:rPr>
        <w:t>partial observability model (</w:t>
      </w:r>
      <w:r w:rsidR="00DB4F15" w:rsidRPr="00FA4BAA">
        <w:rPr>
          <w:szCs w:val="22"/>
        </w:rPr>
        <w:t>aka</w:t>
      </w:r>
      <w:r w:rsidRPr="00FA4BAA">
        <w:rPr>
          <w:szCs w:val="22"/>
        </w:rPr>
        <w:t xml:space="preserve"> the split population model) as an approach that enables researchers to draw accurate inferences about </w:t>
      </w:r>
      <w:r w:rsidR="00B12F7D">
        <w:rPr>
          <w:szCs w:val="22"/>
        </w:rPr>
        <w:t>effects of explanatory variables on partially observable outcome variables</w:t>
      </w:r>
      <w:r w:rsidRPr="00FA4BAA">
        <w:rPr>
          <w:szCs w:val="22"/>
        </w:rPr>
        <w:t>. Although the partial observability model is theoretically-driven an</w:t>
      </w:r>
      <w:r w:rsidR="00B12F7D">
        <w:rPr>
          <w:szCs w:val="22"/>
        </w:rPr>
        <w:t>d statistically sound, we show that (presumably unavoidable) minor model misspecification</w:t>
      </w:r>
      <w:r w:rsidRPr="00FA4BAA">
        <w:rPr>
          <w:szCs w:val="22"/>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FA4BAA">
        <w:rPr>
          <w:szCs w:val="22"/>
        </w:rPr>
        <w:t>lity.</w:t>
      </w:r>
      <w:bookmarkStart w:id="3" w:name="h.hmdrsl4ytffm" w:colFirst="0" w:colLast="0"/>
      <w:bookmarkEnd w:id="3"/>
    </w:p>
    <w:p w14:paraId="267E53D3" w14:textId="77777777" w:rsidR="00FA4BAA" w:rsidRDefault="00FA4BAA" w:rsidP="003E267A">
      <w:pPr>
        <w:pStyle w:val="TextBody"/>
        <w:spacing w:after="0"/>
        <w:rPr>
          <w:rFonts w:cs="Times New Roman"/>
          <w:szCs w:val="22"/>
        </w:rPr>
      </w:pPr>
    </w:p>
    <w:p w14:paraId="69E51691" w14:textId="073AD4F2" w:rsidR="00B838A2" w:rsidRDefault="00C32772" w:rsidP="002C7386">
      <w:pPr>
        <w:pStyle w:val="TextBody"/>
        <w:spacing w:after="0"/>
        <w:jc w:val="center"/>
        <w:rPr>
          <w:rFonts w:cs="Times New Roman"/>
          <w:szCs w:val="22"/>
        </w:rPr>
      </w:pPr>
      <w:r>
        <w:rPr>
          <w:rFonts w:cs="Times New Roman"/>
          <w:szCs w:val="22"/>
        </w:rPr>
        <w:t>Word Count:  2,713</w:t>
      </w:r>
      <w:bookmarkStart w:id="4" w:name="_GoBack"/>
      <w:bookmarkEnd w:id="4"/>
      <w:r w:rsidR="009B76DB">
        <w:rPr>
          <w:rFonts w:cs="Times New Roman"/>
          <w:szCs w:val="22"/>
        </w:rPr>
        <w:t xml:space="preserve"> (incl. footnotes)</w:t>
      </w:r>
      <w:bookmarkStart w:id="5" w:name="h.6v3da3v3afpd" w:colFirst="0" w:colLast="0"/>
      <w:bookmarkEnd w:id="5"/>
    </w:p>
    <w:p w14:paraId="4FC31B99" w14:textId="77777777" w:rsidR="008B25E6" w:rsidRDefault="008B25E6" w:rsidP="002C7386">
      <w:pPr>
        <w:pStyle w:val="TextBody"/>
        <w:spacing w:after="0"/>
        <w:jc w:val="center"/>
        <w:rPr>
          <w:rFonts w:cs="Times New Roman"/>
          <w:szCs w:val="22"/>
        </w:rPr>
      </w:pPr>
    </w:p>
    <w:p w14:paraId="6F240616" w14:textId="77777777" w:rsidR="008B25E6" w:rsidRDefault="008B25E6" w:rsidP="002C7386">
      <w:pPr>
        <w:pStyle w:val="TextBody"/>
        <w:spacing w:after="0"/>
        <w:jc w:val="center"/>
        <w:rPr>
          <w:rFonts w:cs="Times New Roman"/>
          <w:szCs w:val="22"/>
        </w:rPr>
      </w:pPr>
    </w:p>
    <w:p w14:paraId="540A64FD" w14:textId="77777777" w:rsidR="008B25E6" w:rsidRPr="002C7386" w:rsidRDefault="008B25E6" w:rsidP="002C7386">
      <w:pPr>
        <w:pStyle w:val="TextBody"/>
        <w:spacing w:after="0"/>
        <w:jc w:val="center"/>
        <w:rPr>
          <w:rFonts w:cs="Times New Roman"/>
          <w:szCs w:val="22"/>
        </w:rPr>
      </w:pPr>
    </w:p>
    <w:p w14:paraId="1352CED9" w14:textId="2E465914" w:rsidR="00141CFA" w:rsidRPr="00EB0EFA" w:rsidRDefault="009C3BA5" w:rsidP="00D078D5">
      <w:pPr>
        <w:spacing w:line="240" w:lineRule="auto"/>
        <w:ind w:left="3420" w:hanging="3420"/>
        <w:jc w:val="right"/>
        <w:rPr>
          <w:rFonts w:asciiTheme="majorHAnsi" w:hAnsiTheme="majorHAnsi" w:cs="Times New Roman"/>
          <w:sz w:val="20"/>
          <w:szCs w:val="20"/>
        </w:rPr>
      </w:pPr>
      <w:r w:rsidRPr="00EB0EFA">
        <w:rPr>
          <w:rFonts w:asciiTheme="majorHAnsi" w:hAnsiTheme="majorHAnsi" w:cs="Times New Roman"/>
          <w:sz w:val="20"/>
          <w:szCs w:val="20"/>
        </w:rPr>
        <w:lastRenderedPageBreak/>
        <w:t>“The data may not contain the answe</w:t>
      </w:r>
      <w:r w:rsidR="00EB0EFA" w:rsidRPr="00EB0EFA">
        <w:rPr>
          <w:rFonts w:asciiTheme="majorHAnsi" w:hAnsiTheme="majorHAnsi" w:cs="Times New Roman"/>
          <w:sz w:val="20"/>
          <w:szCs w:val="20"/>
        </w:rPr>
        <w:t xml:space="preserve">r. The combination of some </w:t>
      </w:r>
      <w:r w:rsidR="00E11B1D" w:rsidRPr="00EB0EFA">
        <w:rPr>
          <w:rFonts w:asciiTheme="majorHAnsi" w:hAnsiTheme="majorHAnsi" w:cs="Times New Roman"/>
          <w:sz w:val="20"/>
          <w:szCs w:val="20"/>
        </w:rPr>
        <w:t xml:space="preserve">data </w:t>
      </w:r>
      <w:r w:rsidRPr="00EB0EFA">
        <w:rPr>
          <w:rFonts w:asciiTheme="majorHAnsi" w:hAnsiTheme="majorHAnsi" w:cs="Times New Roman"/>
          <w:sz w:val="20"/>
          <w:szCs w:val="20"/>
        </w:rPr>
        <w:t xml:space="preserve">and an </w:t>
      </w:r>
      <w:r w:rsidR="00EB0EFA" w:rsidRPr="00EB0EFA">
        <w:rPr>
          <w:rFonts w:asciiTheme="majorHAnsi" w:hAnsiTheme="majorHAnsi" w:cs="Times New Roman"/>
          <w:sz w:val="20"/>
          <w:szCs w:val="20"/>
        </w:rPr>
        <w:br/>
      </w:r>
      <w:r w:rsidRPr="00EB0EFA">
        <w:rPr>
          <w:rFonts w:asciiTheme="majorHAnsi" w:hAnsiTheme="majorHAnsi" w:cs="Times New Roman"/>
          <w:sz w:val="20"/>
          <w:szCs w:val="20"/>
        </w:rPr>
        <w:t>aching desire for an answer do</w:t>
      </w:r>
      <w:r w:rsidR="00EB0EFA" w:rsidRPr="00EB0EFA">
        <w:rPr>
          <w:rFonts w:asciiTheme="majorHAnsi" w:hAnsiTheme="majorHAnsi" w:cs="Times New Roman"/>
          <w:sz w:val="20"/>
          <w:szCs w:val="20"/>
        </w:rPr>
        <w:t xml:space="preserve">es </w:t>
      </w:r>
      <w:r w:rsidR="00E11B1D" w:rsidRPr="00EB0EFA">
        <w:rPr>
          <w:rFonts w:asciiTheme="majorHAnsi" w:hAnsiTheme="majorHAnsi" w:cs="Times New Roman"/>
          <w:sz w:val="20"/>
          <w:szCs w:val="20"/>
        </w:rPr>
        <w:t xml:space="preserve">not ensure that a reasonable </w:t>
      </w:r>
      <w:r w:rsidRPr="00EB0EFA">
        <w:rPr>
          <w:rFonts w:asciiTheme="majorHAnsi" w:hAnsiTheme="majorHAnsi" w:cs="Times New Roman"/>
          <w:sz w:val="20"/>
          <w:szCs w:val="20"/>
        </w:rPr>
        <w:t>answe</w:t>
      </w:r>
      <w:r w:rsidR="00EB0EFA" w:rsidRPr="00EB0EFA">
        <w:rPr>
          <w:rFonts w:asciiTheme="majorHAnsi" w:hAnsiTheme="majorHAnsi" w:cs="Times New Roman"/>
          <w:sz w:val="20"/>
          <w:szCs w:val="20"/>
        </w:rPr>
        <w:t xml:space="preserve">r can be extracted from a given </w:t>
      </w:r>
      <w:r w:rsidRPr="00EB0EFA">
        <w:rPr>
          <w:rFonts w:asciiTheme="majorHAnsi" w:hAnsiTheme="majorHAnsi" w:cs="Times New Roman"/>
          <w:sz w:val="20"/>
          <w:szCs w:val="20"/>
        </w:rPr>
        <w:t>body of data.”</w:t>
      </w:r>
    </w:p>
    <w:p w14:paraId="2A2D964E" w14:textId="143754AE" w:rsidR="00734ADA" w:rsidRPr="00EB0EFA" w:rsidRDefault="00FF3152" w:rsidP="00EB0EFA">
      <w:pPr>
        <w:spacing w:line="276" w:lineRule="auto"/>
        <w:ind w:left="2880" w:hanging="3420"/>
        <w:jc w:val="right"/>
        <w:rPr>
          <w:rFonts w:asciiTheme="majorHAnsi" w:hAnsiTheme="majorHAnsi" w:cs="Times New Roman"/>
          <w:sz w:val="20"/>
          <w:szCs w:val="20"/>
        </w:rPr>
      </w:pPr>
      <w:r w:rsidRPr="00EB0EFA">
        <w:rPr>
          <w:rFonts w:asciiTheme="majorHAnsi" w:hAnsiTheme="majorHAnsi" w:cs="Times New Roman"/>
          <w:sz w:val="20"/>
          <w:szCs w:val="20"/>
        </w:rPr>
        <w:t>—</w:t>
      </w:r>
      <w:r w:rsidR="009C3BA5" w:rsidRPr="00EB0EFA">
        <w:rPr>
          <w:rFonts w:asciiTheme="majorHAnsi" w:hAnsiTheme="majorHAnsi" w:cs="Times New Roman"/>
          <w:sz w:val="20"/>
          <w:szCs w:val="20"/>
        </w:rPr>
        <w:t>John Tukey (1986, p. 74)</w:t>
      </w:r>
    </w:p>
    <w:p w14:paraId="348794FD" w14:textId="63003019" w:rsidR="00141CFA" w:rsidRPr="002C7386" w:rsidRDefault="00670B2A" w:rsidP="002C7386">
      <w:pPr>
        <w:ind w:left="1440" w:hanging="3420"/>
        <w:jc w:val="right"/>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44A0D3F3" wp14:editId="0CAD7080">
                <wp:simplePos x="0" y="0"/>
                <wp:positionH relativeFrom="column">
                  <wp:posOffset>3086100</wp:posOffset>
                </wp:positionH>
                <wp:positionV relativeFrom="paragraph">
                  <wp:posOffset>55880</wp:posOffset>
                </wp:positionV>
                <wp:extent cx="28575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28575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4.4pt" to="468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" strokeweight=".25pt"/>
            </w:pict>
          </mc:Fallback>
        </mc:AlternateContent>
      </w:r>
    </w:p>
    <w:p w14:paraId="4DB548BA" w14:textId="23D12964" w:rsidR="0041562E" w:rsidRPr="00141CFA" w:rsidRDefault="00A831F5" w:rsidP="002C7386">
      <w:pPr>
        <w:pStyle w:val="Heading1"/>
        <w:spacing w:line="360" w:lineRule="auto"/>
      </w:pPr>
      <w:r w:rsidRPr="00141CFA">
        <w:t>Introduction</w:t>
      </w:r>
    </w:p>
    <w:p w14:paraId="584A641A" w14:textId="21472C27" w:rsidR="00EC3CE2" w:rsidRDefault="005C4AC7" w:rsidP="009B76DB">
      <w:r w:rsidRPr="00141CFA">
        <w:t xml:space="preserve">Social </w:t>
      </w:r>
      <w:r w:rsidR="00A831F5" w:rsidRPr="00141CFA">
        <w:t>scientists often fa</w:t>
      </w:r>
      <w:r w:rsidR="00EC3CE2">
        <w:t>ce situations</w:t>
      </w:r>
      <w:r w:rsidR="00D078D5">
        <w:t>, known as “partial observability,”</w:t>
      </w:r>
      <w:r w:rsidR="00EC3CE2">
        <w:t xml:space="preserve"> in which two (or perhaps m</w:t>
      </w:r>
      <w:r w:rsidR="00A831F5" w:rsidRPr="00141CFA">
        <w:t>ore) dist</w:t>
      </w:r>
      <w:r w:rsidR="00D53D05">
        <w:t>inct processes lead to distinct</w:t>
      </w:r>
      <w:r w:rsidR="00A831F5" w:rsidRPr="00141CFA">
        <w:t xml:space="preserve"> binary outcomes that can only be observed jointly</w:t>
      </w:r>
      <w:r w:rsidR="00D605B2" w:rsidRPr="00D605B2">
        <w:t xml:space="preserve"> </w:t>
      </w:r>
      <w:r w:rsidR="00D605B2">
        <w:t>(Poirier 1980; Abowd and Farber 1982)</w:t>
      </w:r>
      <w:r w:rsidR="00A831F5" w:rsidRPr="00141CFA">
        <w:t>.</w:t>
      </w:r>
      <w:r w:rsidR="00D078D5">
        <w:rPr>
          <w:rStyle w:val="FootnoteReference"/>
        </w:rPr>
        <w:footnoteReference w:id="4"/>
      </w:r>
      <w:r w:rsidR="00A831F5" w:rsidRPr="00141CFA">
        <w:t xml:space="preserve"> Braumoeller (2003) provides many examples of established literature theorizing such relationships. </w:t>
      </w:r>
      <w:r w:rsidR="00E6065D" w:rsidRPr="00141CFA">
        <w:t>In some situations, the analyst believes that the key explanatory variable influences only one of the partially observed outcomes (e.g., Braumoeller an</w:t>
      </w:r>
      <w:r w:rsidR="00B24F10">
        <w:t xml:space="preserve">d Carson 2011), but we focus on the more difficult situation in which </w:t>
      </w:r>
      <w:r w:rsidR="00E6065D" w:rsidRPr="00141CFA">
        <w:t xml:space="preserve">the researcher believes that the key explanatory variable </w:t>
      </w:r>
      <w:r w:rsidR="007A3691" w:rsidRPr="00141CFA">
        <w:t>affects</w:t>
      </w:r>
      <w:r w:rsidR="00E6065D" w:rsidRPr="00141CFA">
        <w:t xml:space="preserve"> </w:t>
      </w:r>
      <w:r w:rsidR="00E6065D" w:rsidRPr="00141CFA">
        <w:rPr>
          <w:i/>
        </w:rPr>
        <w:t>both</w:t>
      </w:r>
      <w:r w:rsidR="00E6065D" w:rsidRPr="00141CFA">
        <w:t xml:space="preserve"> partially observed outcomes (e.g., Xiang 2010). </w:t>
      </w:r>
    </w:p>
    <w:p w14:paraId="22FC2A0F" w14:textId="2A9154C8" w:rsidR="008C116D" w:rsidRDefault="00C25C23" w:rsidP="009B76DB">
      <w:r>
        <w:t xml:space="preserve">[ctk: add reference to Nieman’s work] </w:t>
      </w:r>
      <w:r w:rsidR="008C116D" w:rsidRPr="00141CFA">
        <w:t xml:space="preserve">Research employing the partial observability model has already weighed in on social scientists’ understanding of such important processes and outcomes </w:t>
      </w:r>
      <w:r>
        <w:t xml:space="preserve">such </w:t>
      </w:r>
      <w:r w:rsidR="008C116D" w:rsidRPr="00141CFA">
        <w:t xml:space="preserve">as international conflict and trade (Xiang 2010), IMF agreements (Knight and Santaella 1997, Przeworski and Vreeland 2000, 2002, Vreeland 2003, and Stone 2008), union membership (Abowd and Farber 1982), network formation (Comola and Fafchamps 2014), credit ratings (Boyes, Hoffman, and Low 1989), agricultural innovation (Dimara and Skuras 2003), health insurance ownership (Amir 2001), employment discrimination (Heywood and Mohanty </w:t>
      </w:r>
      <w:r w:rsidR="008C116D" w:rsidRPr="00FA4BAA">
        <w:t>1990, Logan 1996, and Mohanty 2002), and regulatory compliance (Feinstein 1990, Stafford 2002, Chen et al. 2006, and Wang 2013)</w:t>
      </w:r>
      <w:r w:rsidR="00AC2D78">
        <w:t xml:space="preserve">. </w:t>
      </w:r>
      <w:r w:rsidR="00AC2D78" w:rsidRPr="00AC2D78">
        <w:t xml:space="preserve">Feinstein (1990) suggests the model’s usefulness for </w:t>
      </w:r>
      <w:r w:rsidR="009800FD">
        <w:t>a wide range of policy studies, and t</w:t>
      </w:r>
      <w:r w:rsidR="008C116D" w:rsidRPr="00FA4BAA">
        <w:t>he model appears to hold out promise for investigating numerous other subjects —</w:t>
      </w:r>
      <w:r w:rsidR="009800FD">
        <w:t xml:space="preserve"> including deterrence,</w:t>
      </w:r>
      <w:r w:rsidR="008C116D" w:rsidRPr="00FA4BAA">
        <w:t xml:space="preserve"> treaty compliance</w:t>
      </w:r>
      <w:r w:rsidR="009800FD">
        <w:t>,</w:t>
      </w:r>
      <w:r w:rsidR="008C116D" w:rsidRPr="00FA4BAA">
        <w:t xml:space="preserve"> and attitudes and behaviors that are </w:t>
      </w:r>
      <w:r w:rsidR="008C116D" w:rsidRPr="00FA4BAA">
        <w:lastRenderedPageBreak/>
        <w:t xml:space="preserve">subject to social desirability bias when measured via a survey report (see Beger et al. 2011). </w:t>
      </w:r>
    </w:p>
    <w:p w14:paraId="3EB3EE99" w14:textId="246E518D" w:rsidR="0041562E" w:rsidRPr="00141CFA" w:rsidRDefault="00A040EA" w:rsidP="009B76DB">
      <w:r>
        <w:t>Indeed, r</w:t>
      </w:r>
      <w:r w:rsidR="00A831F5" w:rsidRPr="00141CFA">
        <w:t>ecent work suggests that scholars can draw compelling inf</w:t>
      </w:r>
      <w:r>
        <w:t>erences about the effect of the key</w:t>
      </w:r>
      <w:r w:rsidR="00A831F5" w:rsidRPr="00141CFA">
        <w:t xml:space="preserve"> </w:t>
      </w:r>
      <w:r w:rsidR="00936740" w:rsidRPr="00141CFA">
        <w:t xml:space="preserve">explanatory </w:t>
      </w:r>
      <w:r w:rsidR="00A831F5" w:rsidRPr="00141CFA">
        <w:t>variable on each unobserved outcome via the partial observability model (aka the split population model) as long as the researcher can identify at least one other variable that influences only one of the processes (Przeworski and Vreeland 2002)</w:t>
      </w:r>
      <w:r w:rsidR="00B0751A">
        <w:t xml:space="preserve">. </w:t>
      </w:r>
      <w:r w:rsidR="00DB7CC7" w:rsidRPr="00141CFA">
        <w:t>However, we present simulation evidence showing that the partial observability model is extremely sensitive to misspecification</w:t>
      </w:r>
      <w:r w:rsidR="00DB41AF" w:rsidRPr="00141CFA">
        <w:t>.</w:t>
      </w:r>
    </w:p>
    <w:p w14:paraId="7FAA2A14" w14:textId="7BEBECCD" w:rsidR="00FA4BAA" w:rsidRPr="00FA4BAA" w:rsidRDefault="00466522" w:rsidP="009B76DB">
      <w:r>
        <w:t>R</w:t>
      </w:r>
      <w:r w:rsidR="00FA4BAA" w:rsidRPr="00FA4BAA">
        <w:t xml:space="preserve">ecent applications are relatively sanguine about employing the partial observability model.  However, Meng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sidR="00FA4BAA" w:rsidRPr="00FA4BAA">
        <w:rPr>
          <w:i/>
        </w:rPr>
        <w:t>t</w:t>
      </w:r>
      <w:r w:rsidR="00FA4BAA" w:rsidRPr="00FA4BAA">
        <w:t>-ratios to be from two to four times as large under full observability as under partial observability” (Meng and Schmidt 1985, p. 83). Yet standard errors (by design) only reflect the uncertainty due to sampling error. Other sources of error, such as measurement error, missin</w:t>
      </w:r>
      <w:r w:rsidR="00C25C23">
        <w:t>g data, and specification error</w:t>
      </w:r>
      <w:r w:rsidR="00FA4BAA" w:rsidRPr="00FA4BAA">
        <w:t xml:space="preserve"> create additional uncertainty. In the simulations below, we focus specifically on the cost of specification error.</w:t>
      </w:r>
    </w:p>
    <w:p w14:paraId="449847F1" w14:textId="77777777" w:rsidR="001727BA" w:rsidRDefault="00FA4BAA" w:rsidP="009B76DB">
      <w:r w:rsidRPr="00FA4BAA">
        <w:t>Although innocuous specification errors (particularly of the functional form variety) do not usually introduce much additional uncertainty under full observability, we argue that this is not the case with partial observability models.</w:t>
      </w:r>
      <w:r w:rsidRPr="00FA4BAA">
        <w:rPr>
          <w:vertAlign w:val="superscript"/>
        </w:rPr>
        <w:footnoteReference w:id="5"/>
      </w:r>
      <w:r w:rsidRPr="00FA4BAA">
        <w:t xml:space="preserve"> We argue that an even greater cost of partial observability models (compared to a doubling or even quadrupling of the standard errors as cited above) is the substantial </w:t>
      </w:r>
      <w:r w:rsidRPr="00FA4BAA">
        <w:rPr>
          <w:i/>
        </w:rPr>
        <w:t>bias</w:t>
      </w:r>
      <w:r w:rsidRPr="00FA4BAA">
        <w:t xml:space="preserve"> introduced by small specification errors, which is not reflected in the standard errors. </w:t>
      </w:r>
    </w:p>
    <w:p w14:paraId="41E8163E" w14:textId="1C39D7E5" w:rsidR="00FA4BAA" w:rsidRPr="00FA4BAA" w:rsidRDefault="00FA4BAA" w:rsidP="009B76DB">
      <w:r w:rsidRPr="00FA4BAA">
        <w:t xml:space="preserve">We use simulations to show that a misspecification that leads to almost no bias under full observability leads to large biases under </w:t>
      </w:r>
      <w:r w:rsidR="001727BA">
        <w:t>partial observability. Th</w:t>
      </w:r>
      <w:r w:rsidRPr="00FA4BAA">
        <w:t xml:space="preserve">e type of </w:t>
      </w:r>
      <w:r w:rsidRPr="00FA4BAA">
        <w:lastRenderedPageBreak/>
        <w:t>misspecific</w:t>
      </w:r>
      <w:r w:rsidR="00C25C23">
        <w:t>ation that we consider is much less serious than</w:t>
      </w:r>
      <w:r w:rsidRPr="00FA4BAA">
        <w:t xml:space="preserve"> including a variable in the inco</w:t>
      </w:r>
      <w:r w:rsidR="001727BA">
        <w:t>rrect equation (though this</w:t>
      </w:r>
      <w:r w:rsidRPr="00FA4BAA">
        <w:t xml:space="preserve"> seems</w:t>
      </w:r>
      <w:r w:rsidR="00706A86">
        <w:t xml:space="preserve"> </w:t>
      </w:r>
      <w:r w:rsidR="001727BA">
        <w:t>quite</w:t>
      </w:r>
      <w:r w:rsidRPr="00FA4BAA">
        <w:t xml:space="preserve"> possi</w:t>
      </w:r>
      <w:r w:rsidR="00706A86">
        <w:t>ble in many applications</w:t>
      </w:r>
      <w:r w:rsidRPr="00FA4BAA">
        <w:t xml:space="preserve">). Instead, we assess a slight misspecification of functional form—a situation in which the logit link function is not quite right. The relationship between the probability of each partially observed event and the explanatory variables is non-linear, but monotonic—specifically, the relationship is quadratic. We view this type of specification error as quite mild for two reasons. First, there is rarely a compelling theoretical rationale for preferring the specific logit functional form over a “non-linear and monotonic” functional form. Second, in logit models of fully observed binary outcomes, this type of misspecification error appears to have almost no effect on the inferences (see our simulations below). Although this mild form of misspecification has little impact on the </w:t>
      </w:r>
      <w:r w:rsidR="00C25C23">
        <w:t>inferences from full observability</w:t>
      </w:r>
      <w:r w:rsidRPr="00FA4BAA">
        <w:t xml:space="preserve"> logit models, we show that this type of misspecification leads to large errors in the parti</w:t>
      </w:r>
      <w:r w:rsidR="00C25C23">
        <w:t>al observability context—</w:t>
      </w:r>
      <w:r w:rsidRPr="00FA4BAA">
        <w:t>partial observability models are (much) more sensitive to misspecification than their fully-observed counterparts.</w:t>
      </w:r>
    </w:p>
    <w:p w14:paraId="693ADA12" w14:textId="77777777" w:rsidR="0041562E" w:rsidRPr="00141CFA" w:rsidRDefault="00A831F5" w:rsidP="003E267A">
      <w:pPr>
        <w:pStyle w:val="Heading1"/>
        <w:spacing w:line="360" w:lineRule="auto"/>
      </w:pPr>
      <w:r w:rsidRPr="00141CFA">
        <w:t>The Partial Observability Model</w:t>
      </w:r>
    </w:p>
    <w:p w14:paraId="72D32E8B" w14:textId="1E45A7EB" w:rsidR="0041562E" w:rsidRPr="00141CFA" w:rsidRDefault="00A831F5" w:rsidP="009B76DB">
      <w:r w:rsidRPr="00141CFA">
        <w:t xml:space="preserve">Assume a situation in which a potential dichotomous outcome of interest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A54094" w:rsidRPr="00141CFA">
        <w:t xml:space="preserve"> </w:t>
      </w:r>
      <w:r w:rsidRPr="00141CFA">
        <w:t xml:space="preserve">cannot be directly observed. Instead, it can only be observed jointly with another dichotomous outcome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w:t>
      </w:r>
      <w:r w:rsidRPr="00141CFA">
        <w:rPr>
          <w:vertAlign w:val="superscript"/>
        </w:rPr>
        <w:footnoteReference w:id="6"/>
      </w:r>
      <w:r w:rsidRPr="00141CFA">
        <w:t xml:space="preserve"> The researcher only observes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which, depending on the application, might equal one if both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Pr="00141CFA">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A54094" w:rsidRPr="00141CFA">
        <w:t xml:space="preserve"> </w:t>
      </w:r>
      <w:r w:rsidRPr="00141CFA">
        <w:t xml:space="preserve">equal one or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A54094" w:rsidRPr="00141CFA">
        <w:t xml:space="preserve"> </w:t>
      </w:r>
      <w:r w:rsidRPr="00141CFA">
        <w:t xml:space="preserve">or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 xml:space="preserve"> equals one. For simplicity, we consider the situation in which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equals one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Pr="00141CFA">
        <w:t xml:space="preserve"> or </w:t>
      </w:r>
      <m:oMath>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=1</m:t>
        </m:r>
      </m:oMath>
      <w:r w:rsidRPr="00141CFA">
        <w:t xml:space="preserve">. That is,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However, all of our findings and suggestions generalize to the other situation as well.</w:t>
      </w:r>
      <w:r w:rsidRPr="00141CFA">
        <w:rPr>
          <w:vertAlign w:val="superscript"/>
        </w:rPr>
        <w:footnoteReference w:id="7"/>
      </w:r>
    </w:p>
    <w:p w14:paraId="2AAD6EC0" w14:textId="1E0EEBD8" w:rsidR="0041562E" w:rsidRPr="00141CFA" w:rsidRDefault="00A831F5" w:rsidP="009B76DB">
      <w:r w:rsidRPr="00141CFA">
        <w:lastRenderedPageBreak/>
        <w:t xml:space="preserve">To model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we simply recognize that it is determined jointly by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rsidRPr="00141CFA">
        <w:t xml:space="preserve"> </w:t>
      </w:r>
      <w:r w:rsidRPr="00141CFA">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 xml:space="preserve"> and assume that a standard logit model relates the matrix of covariates </w:t>
      </w:r>
      <m:oMath>
        <m:r>
          <w:rPr>
            <w:rFonts w:ascii="Cambria Math" w:hAnsi="Cambria Math"/>
          </w:rPr>
          <m:t>X</m:t>
        </m:r>
      </m:oMath>
      <w:r w:rsidR="00087AAC" w:rsidRPr="00141CFA">
        <w:t xml:space="preserve"> </w:t>
      </w:r>
      <w:r w:rsidRPr="00141CFA">
        <w:t xml:space="preserve">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m:t>
        </m:r>
      </m:oMath>
      <w:r w:rsidRPr="00141CFA">
        <w:t xml:space="preserve">. Similarly, assume that the same model relates the matrix of covariates </w:t>
      </w:r>
      <m:oMath>
        <m:r>
          <w:rPr>
            <w:rFonts w:ascii="Cambria Math" w:hAnsi="Cambria Math"/>
          </w:rPr>
          <m:t>Z</m:t>
        </m:r>
      </m:oMath>
      <w:r w:rsidR="00087AAC" w:rsidRPr="00141CFA">
        <w:t xml:space="preserve"> </w:t>
      </w:r>
      <w:r w:rsidRPr="00141CFA">
        <w:t xml:space="preserve">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Pr="00141CFA">
        <w:t xml:space="preserve">. Then, rewriting the equation for </w:t>
      </w:r>
      <m:oMath>
        <m:r>
          <w:rPr>
            <w:rFonts w:ascii="Cambria Math" w:hAnsi="Cambria Math"/>
          </w:rPr>
          <m:t>P(y)</m:t>
        </m:r>
      </m:oMath>
      <w:r w:rsidR="00087AAC" w:rsidRPr="00141CFA">
        <w:t xml:space="preserve"> </w:t>
      </w:r>
      <w:r w:rsidRPr="00141CFA">
        <w:t>above, we obtain</w:t>
      </w:r>
      <w:r w:rsidR="00055BE6" w:rsidRPr="00141CFA">
        <w:t xml:space="preserve"> the partial observability model</w:t>
      </w:r>
    </w:p>
    <w:p w14:paraId="5A7E9716" w14:textId="4317FDD3" w:rsidR="0041562E" w:rsidRPr="00141CFA" w:rsidRDefault="00087AAC" w:rsidP="00DF18CF">
      <w:pPr>
        <w:jc w:val="center"/>
        <w:rPr>
          <w:i/>
        </w:r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cs="Cambria Math"/>
          </w:rPr>
          <m:t>X</m:t>
        </m:r>
        <m:r>
          <w:rPr>
            <w:rFonts w:ascii="Cambria Math" w:hAnsi="Cambria Math"/>
          </w:rPr>
          <m:t>β) +logi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00A831F5" w:rsidRPr="00141CFA">
        <w:rPr>
          <w:i/>
        </w:rPr>
        <w:t>.</w:t>
      </w:r>
    </w:p>
    <w:p w14:paraId="457710F1" w14:textId="77777777" w:rsidR="0041562E" w:rsidRPr="00141CFA" w:rsidRDefault="00A831F5" w:rsidP="009B76DB">
      <w:r w:rsidRPr="00141CFA">
        <w:t>Using this form, it is straight</w:t>
      </w:r>
      <w:r w:rsidR="00087AAC" w:rsidRPr="00141CFA">
        <w:t>for</w:t>
      </w:r>
      <w:r w:rsidRPr="00141CFA">
        <w:t xml:space="preserve">ward to find the log-likelihood function for </w:t>
      </w:r>
      <m:oMath>
        <m:r>
          <w:rPr>
            <w:rFonts w:ascii="Cambria Math" w:hAnsi="Cambria Math"/>
          </w:rPr>
          <m:t>β</m:t>
        </m:r>
      </m:oMath>
      <w:r w:rsidR="00087AAC" w:rsidRPr="00141CFA">
        <w:t xml:space="preserve"> </w:t>
      </w:r>
      <w:r w:rsidRPr="00141CFA">
        <w:t xml:space="preserve">and </w:t>
      </w:r>
      <m:oMath>
        <m:r>
          <w:rPr>
            <w:rFonts w:ascii="Cambria Math" w:hAnsi="Cambria Math"/>
          </w:rPr>
          <m:t>γ</m:t>
        </m:r>
      </m:oMath>
      <w:r w:rsidRPr="00141CFA">
        <w:t>, although the maximization is not trivial.</w:t>
      </w:r>
      <w:r w:rsidRPr="00141CFA">
        <w:rPr>
          <w:vertAlign w:val="superscript"/>
        </w:rPr>
        <w:footnoteReference w:id="8"/>
      </w:r>
    </w:p>
    <w:p w14:paraId="03D1C140" w14:textId="7CC22E72" w:rsidR="0041562E" w:rsidRPr="00141CFA" w:rsidRDefault="009B76DB" w:rsidP="003E267A">
      <w:pPr>
        <w:pStyle w:val="Heading1"/>
        <w:spacing w:line="360" w:lineRule="auto"/>
      </w:pPr>
      <w:bookmarkStart w:id="6" w:name="h.pnp3u055o01k" w:colFirst="0" w:colLast="0"/>
      <w:bookmarkEnd w:id="6"/>
      <w:r>
        <w:t>Simulation</w:t>
      </w:r>
    </w:p>
    <w:p w14:paraId="20EF639B" w14:textId="04F4851F" w:rsidR="0041562E" w:rsidRPr="00141CFA" w:rsidRDefault="00DC0E91" w:rsidP="009B76DB">
      <w:r w:rsidRPr="00141CFA">
        <w:t xml:space="preserve">In setting up the simulations, we assume that </w:t>
      </w:r>
      <w:r w:rsidR="00A831F5" w:rsidRPr="00141CFA">
        <w:t xml:space="preserve">the researcher does not know the exact functional form relating the explanatory variables to the unobserved outcomes, </w:t>
      </w:r>
      <w:r w:rsidRPr="00141CFA">
        <w:t xml:space="preserve">but </w:t>
      </w:r>
      <w:r w:rsidR="001305E7" w:rsidRPr="00141CFA">
        <w:t>make the generous assumption</w:t>
      </w:r>
      <w:r w:rsidR="00CF6F6F" w:rsidRPr="00141CFA">
        <w:t>s</w:t>
      </w:r>
      <w:r w:rsidR="001305E7" w:rsidRPr="00141CFA">
        <w:t xml:space="preserve"> that </w:t>
      </w:r>
      <w:r w:rsidR="00A831F5" w:rsidRPr="00141CFA">
        <w:t xml:space="preserve">she does know that only </w:t>
      </w:r>
      <w:r w:rsidR="00A831F5" w:rsidRPr="00141CFA">
        <w:rPr>
          <w:i/>
        </w:rPr>
        <w:t>x</w:t>
      </w:r>
      <w:r w:rsidR="00A831F5" w:rsidRPr="00141CFA">
        <w:t xml:space="preserve"> influences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1305E7" w:rsidRPr="00141CFA">
        <w:t xml:space="preserve">, </w:t>
      </w:r>
      <w:r w:rsidR="00CF6F6F" w:rsidRPr="00141CFA">
        <w:t xml:space="preserve">that </w:t>
      </w:r>
      <w:r w:rsidR="00A831F5" w:rsidRPr="00141CFA">
        <w:t xml:space="preserve">both </w:t>
      </w:r>
      <w:r w:rsidR="00A831F5" w:rsidRPr="00141CFA">
        <w:rPr>
          <w:i/>
        </w:rPr>
        <w:t>x</w:t>
      </w:r>
      <w:r w:rsidR="00A831F5" w:rsidRPr="00141CFA">
        <w:t xml:space="preserve"> and </w:t>
      </w:r>
      <w:r w:rsidR="00A831F5" w:rsidRPr="00141CFA">
        <w:rPr>
          <w:i/>
        </w:rPr>
        <w:t>z</w:t>
      </w:r>
      <w:r w:rsidR="00A831F5" w:rsidRPr="00141CFA">
        <w:t xml:space="preserve"> influence </w:t>
      </w:r>
      <m:oMath>
        <m:sSub>
          <m:sSubPr>
            <m:ctrlPr>
              <w:rPr>
                <w:rFonts w:ascii="Cambria Math" w:hAnsi="Cambria Math"/>
                <w:i/>
              </w:rPr>
            </m:ctrlPr>
          </m:sSubPr>
          <m:e>
            <m:r>
              <w:rPr>
                <w:rFonts w:ascii="Cambria Math" w:hAnsi="Cambria Math"/>
              </w:rPr>
              <m:t>d</m:t>
            </m:r>
          </m:e>
          <m:sub>
            <m:r>
              <w:rPr>
                <w:rFonts w:ascii="Cambria Math" w:hAnsi="Cambria Math"/>
              </w:rPr>
              <m:t>n</m:t>
            </m:r>
            <m:r>
              <w:rPr>
                <w:rFonts w:ascii="Cambria Math" w:hAnsi="Cambria Math"/>
              </w:rPr>
              <m:t>uisance</m:t>
            </m:r>
          </m:sub>
        </m:sSub>
      </m:oMath>
      <w:r w:rsidR="001305E7" w:rsidRPr="00141CFA">
        <w:t>, and that</w:t>
      </w:r>
      <w:r w:rsidR="00A831F5" w:rsidRPr="00141CFA">
        <w:t xml:space="preserve"> the following relationships</w:t>
      </w:r>
      <w:r w:rsidR="001305E7" w:rsidRPr="00141CFA">
        <w:t xml:space="preserve"> hold</w:t>
      </w:r>
      <w:r w:rsidR="00A831F5" w:rsidRPr="00141CFA">
        <w:t>:</w:t>
      </w:r>
    </w:p>
    <w:p w14:paraId="1ACD035C" w14:textId="77777777" w:rsidR="0041562E" w:rsidRPr="00141CFA" w:rsidRDefault="00087AAC" w:rsidP="00F71D63">
      <w:pPr>
        <w:pStyle w:val="ListParagraph"/>
        <w:numPr>
          <w:ilvl w:val="0"/>
          <w:numId w:val="26"/>
        </w:numP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)=f(x)</m:t>
        </m:r>
      </m:oMath>
      <w:r w:rsidR="00A831F5" w:rsidRPr="00141CFA">
        <w:t xml:space="preserve">, where </w:t>
      </w:r>
      <w:r w:rsidR="00A831F5" w:rsidRPr="00F71D63">
        <w:rPr>
          <w:i/>
        </w:rPr>
        <w:t>f</w:t>
      </w:r>
      <w:r w:rsidR="00A831F5" w:rsidRPr="00141CFA">
        <w:t xml:space="preserve"> is a monotonic function</w:t>
      </w:r>
    </w:p>
    <w:p w14:paraId="46068FED" w14:textId="77777777" w:rsidR="0041562E" w:rsidRPr="00141CFA" w:rsidRDefault="00087AAC" w:rsidP="00F71D63">
      <w:pPr>
        <w:pStyle w:val="ListParagraph"/>
        <w:numPr>
          <w:ilvl w:val="0"/>
          <w:numId w:val="26"/>
        </w:numP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=1)=g(x,  z)</m:t>
        </m:r>
      </m:oMath>
      <w:r w:rsidR="00A831F5" w:rsidRPr="00141CFA">
        <w:t xml:space="preserve">, where </w:t>
      </w:r>
      <w:r w:rsidR="00A831F5" w:rsidRPr="00F71D63">
        <w:rPr>
          <w:i/>
        </w:rPr>
        <w:t>g</w:t>
      </w:r>
      <w:r w:rsidR="00A831F5" w:rsidRPr="00141CFA">
        <w:t xml:space="preserve"> is a monotonic function of both </w:t>
      </w:r>
      <w:r w:rsidR="00A831F5" w:rsidRPr="00F71D63">
        <w:rPr>
          <w:i/>
        </w:rPr>
        <w:t>x</w:t>
      </w:r>
      <w:r w:rsidR="00A831F5" w:rsidRPr="00141CFA">
        <w:t xml:space="preserve"> and </w:t>
      </w:r>
      <w:r w:rsidR="00A831F5" w:rsidRPr="00F71D63">
        <w:rPr>
          <w:i/>
        </w:rPr>
        <w:t>z</w:t>
      </w:r>
    </w:p>
    <w:p w14:paraId="04CC5716" w14:textId="77777777" w:rsidR="00087AAC" w:rsidRPr="00F71D63" w:rsidRDefault="00907A92" w:rsidP="00F71D63">
      <w:pPr>
        <w:pStyle w:val="ListParagraph"/>
        <w:numPr>
          <w:ilvl w:val="0"/>
          <w:numId w:val="26"/>
        </w:numPr>
      </w:pPr>
      <m:oMath>
        <m:r>
          <w:rPr>
            <w:rFonts w:ascii="Cambria Math" w:hAnsi="Cambria Math"/>
          </w:rPr>
          <m:t>P(y)=f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 xml:space="preserve">=1 </m:t>
                </m:r>
                <m:r>
                  <m:rPr>
                    <m:sty m:val="p"/>
                  </m:rPr>
                  <w:rPr>
                    <w:rFonts w:ascii="Cambria Math" w:hAnsi="Cambria Math"/>
                  </w:rPr>
                  <m:t>or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m:t>
                </m:r>
              </m:e>
              <m:e>
                <m:r>
                  <w:rPr>
                    <w:rFonts w:ascii="Cambria Math" w:hAnsi="Cambria Math"/>
                  </w:rPr>
                  <m:t xml:space="preserve"> 0,  &amp;</m:t>
                </m:r>
                <m:r>
                  <m:rPr>
                    <m:sty m:val="p"/>
                  </m:rPr>
                  <w:rPr>
                    <w:rFonts w:ascii="Cambria Math" w:hAnsi="Cambria Math"/>
                  </w:rPr>
                  <m:t>otherwise</m:t>
                </m:r>
              </m:e>
            </m:eqArr>
          </m:e>
        </m:d>
      </m:oMath>
    </w:p>
    <w:p w14:paraId="5E8DEA61" w14:textId="26152FB0" w:rsidR="001305E7" w:rsidRPr="00141CFA" w:rsidRDefault="00A831F5" w:rsidP="009B76DB">
      <w:r w:rsidRPr="00141CFA">
        <w:t>This is less messy than many applied problems, which almost always involve many more variables</w:t>
      </w:r>
      <w:r w:rsidR="009B241F" w:rsidRPr="00141CFA">
        <w:t>,</w:t>
      </w:r>
      <w:r w:rsidRPr="00141CFA">
        <w:t xml:space="preserve"> as well as uncertainty about which variables belong in each equation. In our hypothetical situation, the researcher knows that the relationships are monotonic and </w:t>
      </w:r>
      <w:r w:rsidRPr="00141CFA">
        <w:lastRenderedPageBreak/>
        <w:t>knows exactly which variables belong in each equation, so the misspecification, while always present, is slight. Further, t</w:t>
      </w:r>
      <w:r w:rsidR="00907A92" w:rsidRPr="00141CFA">
        <w:t>he models are relatively simple</w:t>
      </w:r>
      <w:r w:rsidR="00BB4A14" w:rsidRPr="00141CFA">
        <w:t>—</w:t>
      </w:r>
      <w:r w:rsidRPr="00141CFA">
        <w:t xml:space="preserve">only one variable in the main equation and two variables in the nuisance equation. </w:t>
      </w:r>
      <w:r w:rsidR="001305E7" w:rsidRPr="00141CFA">
        <w:t>In</w:t>
      </w:r>
      <w:r w:rsidR="00AC7CEC" w:rsidRPr="00141CFA">
        <w:t xml:space="preserve">deed, this strikes us as a </w:t>
      </w:r>
      <w:r w:rsidR="00606F72">
        <w:t xml:space="preserve">rather </w:t>
      </w:r>
      <w:r w:rsidR="009B241F" w:rsidRPr="00141CFA">
        <w:t>“friendly”</w:t>
      </w:r>
      <w:r w:rsidR="001305E7" w:rsidRPr="00141CFA">
        <w:t xml:space="preserve"> scenario for social science research. </w:t>
      </w:r>
    </w:p>
    <w:p w14:paraId="2E358E42" w14:textId="749B2E48" w:rsidR="0041562E" w:rsidRPr="00141CFA" w:rsidRDefault="00964048" w:rsidP="009B76DB">
      <w:r>
        <w:t>We simulate 500 different relationships that fit into our hypothetical scenario and calculate the larg</w:t>
      </w:r>
      <w:r w:rsidR="00830D3C">
        <w:t xml:space="preserve">e-sample properties of the partial observability model. </w:t>
      </w:r>
      <w:r w:rsidR="00A831F5" w:rsidRPr="00141CFA">
        <w:t xml:space="preserve">To generate each </w:t>
      </w:r>
      <w:r w:rsidR="001305E7" w:rsidRPr="00141CFA">
        <w:t xml:space="preserve">hypothetical </w:t>
      </w:r>
      <w:r w:rsidR="00A831F5" w:rsidRPr="00141CFA">
        <w:t>relationship, we do the following:</w:t>
      </w:r>
    </w:p>
    <w:p w14:paraId="579F3458" w14:textId="77777777" w:rsidR="0041562E" w:rsidRPr="00141CFA" w:rsidRDefault="00A831F5" w:rsidP="009B76DB">
      <w:r w:rsidRPr="00141CFA">
        <w:t xml:space="preserve">Assume that the true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w:r w:rsidRPr="00141CFA">
        <w:rPr>
          <w:i/>
        </w:rPr>
        <w:t>x</w:t>
      </w:r>
      <w:r w:rsidRPr="00141CFA">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β</m:t>
            </m:r>
          </m:e>
          <m:sub>
            <m:r>
              <w:rPr>
                <w:rFonts w:ascii="Cambria Math" w:hAnsi="Cambria Math"/>
              </w:rPr>
              <m:t>x</m:t>
            </m:r>
          </m:sub>
        </m:sSub>
        <m:r>
          <w:rPr>
            <w:rFonts w:ascii="Cambria Math" w:hAnsi="Cambria Math"/>
          </w:rPr>
          <m:t>x +</m:t>
        </m:r>
        <m:sSub>
          <m:sSubPr>
            <m:ctrlPr>
              <w:rPr>
                <w:rFonts w:ascii="Cambria Math" w:hAnsi="Cambria Math"/>
                <w:i/>
              </w:rPr>
            </m:ctrlPr>
          </m:sSubPr>
          <m:e>
            <m:r>
              <w:rPr>
                <w:rFonts w:ascii="Cambria Math" w:hAnsi="Cambria Math"/>
              </w:rPr>
              <m:t xml:space="preserve"> β</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Pr="00141CFA">
        <w:rPr>
          <w:i/>
        </w:rPr>
        <w:t>.</w:t>
      </w:r>
      <w:r w:rsidRPr="00141CFA">
        <w:t xml:space="preserve"> Assume that the true relationship between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nuisance</m:t>
                </m:r>
              </m:sub>
            </m:sSub>
          </m:e>
        </m:d>
      </m:oMath>
      <w:r w:rsidR="00907A92" w:rsidRPr="00141CFA">
        <w:t xml:space="preserve"> </w:t>
      </w:r>
      <w:r w:rsidRPr="00141CFA">
        <w:t xml:space="preserve">and </w:t>
      </w:r>
      <w:r w:rsidRPr="00141CFA">
        <w:rPr>
          <w:i/>
        </w:rPr>
        <w:t>x</w:t>
      </w:r>
      <w:r w:rsidRPr="00141CFA">
        <w:t xml:space="preserve"> and </w:t>
      </w:r>
      <w:r w:rsidRPr="00141CFA">
        <w:rPr>
          <w:i/>
        </w:rPr>
        <w:t>z</w:t>
      </w:r>
      <w:r w:rsidRPr="00141CFA">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ml:space="preserve">) = </m:t>
        </m:r>
        <m:sSub>
          <m:sSubPr>
            <m:ctrlPr>
              <w:rPr>
                <w:rFonts w:ascii="Cambria Math" w:hAnsi="Cambria Math"/>
                <w:i/>
              </w:rPr>
            </m:ctrlPr>
          </m:sSubPr>
          <m:e>
            <m:r>
              <w:rPr>
                <w:rFonts w:ascii="Cambria Math" w:hAnsi="Cambria Math"/>
              </w:rPr>
              <m:t>γ</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γ</m:t>
            </m:r>
          </m:e>
          <m:sub>
            <m:r>
              <w:rPr>
                <w:rFonts w:ascii="Cambria Math" w:hAnsi="Cambria Math"/>
              </w:rPr>
              <m:t>x</m:t>
            </m:r>
          </m:sub>
        </m:sSub>
        <m:r>
          <w:rPr>
            <w:rFonts w:ascii="Cambria Math" w:hAnsi="Cambria Math"/>
          </w:rPr>
          <m:t xml:space="preserve">x + </m:t>
        </m:r>
        <m:sSub>
          <m:sSubPr>
            <m:ctrlPr>
              <w:rPr>
                <w:rFonts w:ascii="Cambria Math" w:hAnsi="Cambria Math"/>
                <w:i/>
              </w:rPr>
            </m:ctrlPr>
          </m:sSubPr>
          <m:e>
            <m:r>
              <w:rPr>
                <w:rFonts w:ascii="Cambria Math" w:hAnsi="Cambria Math"/>
              </w:rPr>
              <m:t>γ</m:t>
            </m:r>
          </m:e>
          <m:sub>
            <m:r>
              <w:rPr>
                <w:rFonts w:ascii="Cambria Math" w:hAnsi="Cambria Math"/>
              </w:rPr>
              <m:t>z</m:t>
            </m:r>
          </m:sub>
        </m:sSub>
        <m:r>
          <w:rPr>
            <w:rFonts w:ascii="Cambria Math" w:hAnsi="Cambria Math"/>
          </w:rPr>
          <m:t>z +</m:t>
        </m:r>
        <m:sSub>
          <m:sSubPr>
            <m:ctrlPr>
              <w:rPr>
                <w:rFonts w:ascii="Cambria Math" w:hAnsi="Cambria Math"/>
                <w:i/>
              </w:rPr>
            </m:ctrlPr>
          </m:sSubPr>
          <m:e>
            <m:r>
              <w:rPr>
                <w:rFonts w:ascii="Cambria Math" w:hAnsi="Cambria Math"/>
              </w:rPr>
              <m:t>γ</m:t>
            </m:r>
          </m:e>
          <m:sub>
            <m:r>
              <w:rPr>
                <w:rFonts w:ascii="Cambria Math" w:hAnsi="Cambria Math"/>
              </w:rPr>
              <m:t>xz</m:t>
            </m:r>
          </m:sub>
        </m:sSub>
        <m:r>
          <w:rPr>
            <w:rFonts w:ascii="Cambria Math" w:hAnsi="Cambria Math"/>
          </w:rPr>
          <m:t xml:space="preserve">xz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r>
          <w:rPr>
            <w:rFonts w:ascii="Cambria Math" w:hAnsi="Cambria Math"/>
          </w:rPr>
          <m:t xml:space="preserve">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z</m:t>
                </m:r>
              </m:e>
              <m:sup>
                <m:r>
                  <w:rPr>
                    <w:rFonts w:ascii="Cambria Math" w:hAnsi="Cambria Math"/>
                  </w:rPr>
                  <m:t>2</m:t>
                </m:r>
              </m:sup>
            </m:sSup>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oMath>
      <w:r w:rsidRPr="00141CFA">
        <w:t>.</w:t>
      </w:r>
    </w:p>
    <w:p w14:paraId="11A800EB" w14:textId="6FDB0230" w:rsidR="0041562E" w:rsidRPr="00141CFA" w:rsidRDefault="00A831F5" w:rsidP="009B76DB">
      <w:r w:rsidRPr="00141CFA">
        <w:t xml:space="preserve">Simulate the parameter vectors </w:t>
      </w:r>
      <m:oMath>
        <m:r>
          <w:rPr>
            <w:rFonts w:ascii="Cambria Math" w:hAnsi="Cambria Math"/>
          </w:rPr>
          <m:t>β</m:t>
        </m:r>
      </m:oMath>
      <w:r w:rsidRPr="00141CFA">
        <w:t xml:space="preserve"> and </w:t>
      </w:r>
      <m:oMath>
        <m:r>
          <w:rPr>
            <w:rFonts w:ascii="Cambria Math" w:hAnsi="Cambria Math"/>
          </w:rPr>
          <m:t>γ</m:t>
        </m:r>
      </m:oMath>
      <w:r w:rsidRPr="00141CFA">
        <w:t xml:space="preserve"> from a uniform distribution that ranges from -1 to 1. Repeat until </w:t>
      </w:r>
      <w:r w:rsidR="00625C10" w:rsidRPr="00141CFA">
        <w:t xml:space="preserve">all </w:t>
      </w:r>
      <w:r w:rsidRPr="00141CFA">
        <w:t xml:space="preserve">of the following conditions </w:t>
      </w:r>
      <w:r w:rsidR="00625C10" w:rsidRPr="00141CFA">
        <w:t xml:space="preserve">are </w:t>
      </w:r>
      <w:r w:rsidRPr="00141CFA">
        <w:t>met:</w:t>
      </w:r>
    </w:p>
    <w:p w14:paraId="7537EEE4" w14:textId="77777777" w:rsidR="0041562E" w:rsidRPr="00141CFA" w:rsidRDefault="00A831F5" w:rsidP="00F71D63">
      <w:pPr>
        <w:pStyle w:val="ListParagraph"/>
        <w:numPr>
          <w:ilvl w:val="0"/>
          <w:numId w:val="27"/>
        </w:numPr>
      </w:pPr>
      <w:r w:rsidRPr="00141CFA">
        <w:t xml:space="preserve">Both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m:oMath>
        <m:r>
          <w:rPr>
            <w:rFonts w:ascii="Cambria Math" w:hAnsi="Cambria Math"/>
          </w:rPr>
          <m:t>P(</m:t>
        </m:r>
        <m:sSub>
          <m:sSubPr>
            <m:ctrlPr>
              <w:rPr>
                <w:rFonts w:ascii="Cambria Math" w:hAnsi="Cambria Math"/>
                <w:i/>
              </w:rPr>
            </m:ctrlPr>
          </m:sSubPr>
          <m:e>
            <m:r>
              <w:rPr>
                <w:rFonts w:ascii="Cambria Math" w:hAnsi="Cambria Math" w:cs="Cambria Math"/>
              </w:rPr>
              <m:t>d</m:t>
            </m:r>
          </m:e>
          <m:sub>
            <m:r>
              <w:rPr>
                <w:rFonts w:ascii="Cambria Math" w:hAnsi="Cambria Math"/>
              </w:rPr>
              <m:t>nuisance</m:t>
            </m:r>
          </m:sub>
        </m:sSub>
        <m:r>
          <w:rPr>
            <w:rFonts w:ascii="Cambria Math" w:hAnsi="Cambria Math"/>
          </w:rPr>
          <m:t>)</m:t>
        </m:r>
      </m:oMath>
      <w:r w:rsidRPr="00141CFA">
        <w:t xml:space="preserve"> are bounded between zero and one across the ranges of </w:t>
      </w:r>
      <w:r w:rsidRPr="00F71D63">
        <w:rPr>
          <w:i/>
        </w:rPr>
        <w:t>x</w:t>
      </w:r>
      <w:r w:rsidRPr="00141CFA">
        <w:t xml:space="preserve"> and </w:t>
      </w:r>
      <w:r w:rsidRPr="00F71D63">
        <w:rPr>
          <w:i/>
        </w:rPr>
        <w:t>z</w:t>
      </w:r>
      <w:r w:rsidRPr="00141CFA">
        <w:t xml:space="preserve">. </w:t>
      </w:r>
    </w:p>
    <w:p w14:paraId="7DD49184" w14:textId="77777777" w:rsidR="0041562E" w:rsidRPr="00141CFA" w:rsidRDefault="00A831F5" w:rsidP="00F71D63">
      <w:pPr>
        <w:pStyle w:val="ListParagraph"/>
        <w:numPr>
          <w:ilvl w:val="0"/>
          <w:numId w:val="27"/>
        </w:numPr>
      </w:pPr>
      <w:r w:rsidRPr="00141CFA">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w:r w:rsidRPr="00F71D63">
        <w:rPr>
          <w:i/>
        </w:rPr>
        <w:t>x</w:t>
      </w:r>
      <w:r w:rsidRPr="00141CFA">
        <w:t xml:space="preserve"> is monotonic across the range of </w:t>
      </w:r>
      <w:r w:rsidRPr="00F71D63">
        <w:rPr>
          <w:i/>
        </w:rPr>
        <w:t>x</w:t>
      </w:r>
      <w:r w:rsidRPr="00141CFA">
        <w:t>.</w:t>
      </w:r>
    </w:p>
    <w:p w14:paraId="5EDF7C59" w14:textId="77777777" w:rsidR="0041562E" w:rsidRPr="00141CFA" w:rsidRDefault="00A831F5" w:rsidP="00F71D63">
      <w:pPr>
        <w:pStyle w:val="ListParagraph"/>
        <w:numPr>
          <w:ilvl w:val="0"/>
          <w:numId w:val="27"/>
        </w:numPr>
      </w:pPr>
      <w:r w:rsidRPr="00141CFA">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xml:space="preserve"> and </w:t>
      </w:r>
      <w:r w:rsidRPr="00F71D63">
        <w:rPr>
          <w:i/>
        </w:rPr>
        <w:t>x</w:t>
      </w:r>
      <w:r w:rsidRPr="00141CFA">
        <w:t xml:space="preserve"> and </w:t>
      </w:r>
      <w:r w:rsidRPr="00F71D63">
        <w:rPr>
          <w:i/>
        </w:rPr>
        <w:t xml:space="preserve">z </w:t>
      </w:r>
      <w:r w:rsidRPr="00141CFA">
        <w:t xml:space="preserve">is monotonic (in both </w:t>
      </w:r>
      <w:r w:rsidRPr="00F71D63">
        <w:rPr>
          <w:i/>
        </w:rPr>
        <w:t>x</w:t>
      </w:r>
      <w:r w:rsidRPr="00141CFA">
        <w:t xml:space="preserve"> and </w:t>
      </w:r>
      <w:r w:rsidRPr="00F71D63">
        <w:rPr>
          <w:i/>
        </w:rPr>
        <w:t>z</w:t>
      </w:r>
      <w:r w:rsidRPr="00141CFA">
        <w:t xml:space="preserve">) across the ranges of </w:t>
      </w:r>
      <w:r w:rsidRPr="00F71D63">
        <w:rPr>
          <w:i/>
        </w:rPr>
        <w:t>x</w:t>
      </w:r>
      <w:r w:rsidRPr="00141CFA">
        <w:t xml:space="preserve"> and </w:t>
      </w:r>
      <w:r w:rsidRPr="00F71D63">
        <w:rPr>
          <w:i/>
        </w:rPr>
        <w:t>z</w:t>
      </w:r>
      <w:r w:rsidRPr="00141CFA">
        <w:t>.</w:t>
      </w:r>
    </w:p>
    <w:p w14:paraId="46FB8475" w14:textId="74316AE4" w:rsidR="003E267A" w:rsidRPr="003E267A" w:rsidRDefault="00734ADA" w:rsidP="009B76DB">
      <w:r w:rsidRPr="003E267A">
        <w:t xml:space="preserve">These steps ensure that each relationship is monotonically increasing in </w:t>
      </w:r>
      <w:r w:rsidRPr="003E267A">
        <w:rPr>
          <w:i/>
        </w:rPr>
        <w:t>x</w:t>
      </w:r>
      <w:r w:rsidRPr="003E267A">
        <w:t xml:space="preserve"> and </w:t>
      </w:r>
      <w:r w:rsidRPr="003E267A">
        <w:rPr>
          <w:i/>
        </w:rPr>
        <w:t>z</w:t>
      </w:r>
      <w:r w:rsidR="00830D3C" w:rsidRPr="003E267A">
        <w:t>, so that the</w:t>
      </w:r>
      <w:r w:rsidRPr="003E267A">
        <w:t xml:space="preserve"> misspecification is relatively mild. </w:t>
      </w:r>
      <w:r w:rsidR="003E267A" w:rsidRPr="003E267A">
        <w:t xml:space="preserve">Using the procedure above, we </w:t>
      </w:r>
      <w:r w:rsidR="001B3BAF">
        <w:t>calculate the large-sample</w:t>
      </w:r>
      <w:r w:rsidR="003E267A">
        <w:t xml:space="preserve"> properties of the estimator using the following steps</w:t>
      </w:r>
      <w:r w:rsidR="003E267A" w:rsidRPr="003E267A">
        <w:t>:</w:t>
      </w:r>
    </w:p>
    <w:p w14:paraId="3A154EA0" w14:textId="77777777" w:rsidR="003E267A" w:rsidRPr="003E267A" w:rsidRDefault="003E267A" w:rsidP="00F71D63">
      <w:pPr>
        <w:pStyle w:val="ListParagraph"/>
        <w:numPr>
          <w:ilvl w:val="0"/>
          <w:numId w:val="28"/>
        </w:numPr>
      </w:pPr>
      <w:r w:rsidRPr="003E267A">
        <w:t>Simulate a hypothetical relationship using the steps above.</w:t>
      </w:r>
    </w:p>
    <w:p w14:paraId="5E762CF6" w14:textId="77777777" w:rsidR="003E267A" w:rsidRPr="003E267A" w:rsidRDefault="003E267A" w:rsidP="00F71D63">
      <w:pPr>
        <w:pStyle w:val="ListParagraph"/>
        <w:numPr>
          <w:ilvl w:val="0"/>
          <w:numId w:val="28"/>
        </w:numPr>
      </w:pPr>
      <w:r w:rsidRPr="003E267A">
        <w:t xml:space="preserve">Simulate the explanatory variable </w:t>
      </w:r>
      <w:r w:rsidRPr="00F71D63">
        <w:rPr>
          <w:i/>
        </w:rPr>
        <w:t>x</w:t>
      </w:r>
      <w:r w:rsidRPr="003E267A">
        <w:t xml:space="preserve"> by taking 100,000 draws from a uniform distribution from zero to one. Simulate </w:t>
      </w:r>
      <w:r w:rsidRPr="00F71D63">
        <w:rPr>
          <w:i/>
        </w:rPr>
        <w:t>z</w:t>
      </w:r>
      <w:r w:rsidRPr="003E267A">
        <w:t xml:space="preserve"> similarly.</w:t>
      </w:r>
    </w:p>
    <w:p w14:paraId="76A7B53A" w14:textId="77777777" w:rsidR="003E267A" w:rsidRPr="003E267A" w:rsidRDefault="003E267A" w:rsidP="00F71D63">
      <w:pPr>
        <w:pStyle w:val="ListParagraph"/>
        <w:numPr>
          <w:ilvl w:val="0"/>
          <w:numId w:val="28"/>
        </w:numPr>
      </w:pPr>
      <w:r w:rsidRPr="003E267A">
        <w:t xml:space="preserve">Using the simulated </w:t>
      </w:r>
      <m:oMath>
        <m:r>
          <w:rPr>
            <w:rFonts w:ascii="Cambria Math" w:hAnsi="Cambria Math"/>
          </w:rPr>
          <m:t>β</m:t>
        </m:r>
      </m:oMath>
      <w:r w:rsidRPr="003E267A">
        <w:t xml:space="preserve"> from Step 1, calculate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F71D63">
        <w:rPr>
          <w:i/>
        </w:rPr>
        <w:t>.</w:t>
      </w:r>
      <w:r w:rsidRPr="003E267A">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Pr="003E267A">
        <w:t xml:space="preserve"> by taking 100,000 draws from a Bernoulli distribution with the success probability set 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F71D63">
        <w:rPr>
          <w:i/>
        </w:rPr>
        <w:t>.</w:t>
      </w:r>
    </w:p>
    <w:p w14:paraId="1AE06670" w14:textId="77777777" w:rsidR="003E267A" w:rsidRPr="003E267A" w:rsidRDefault="003E267A" w:rsidP="00F71D63">
      <w:pPr>
        <w:pStyle w:val="ListParagraph"/>
        <w:numPr>
          <w:ilvl w:val="0"/>
          <w:numId w:val="28"/>
        </w:numPr>
      </w:pPr>
      <w:r w:rsidRPr="003E267A">
        <w:t xml:space="preserve">Similarly, using the simulated </w:t>
      </w:r>
      <m:oMath>
        <m:r>
          <w:rPr>
            <w:rFonts w:ascii="Cambria Math" w:hAnsi="Cambria Math"/>
          </w:rPr>
          <m:t>γ</m:t>
        </m:r>
      </m:oMath>
      <w:r w:rsidRPr="003E267A">
        <w:t xml:space="preserve"> from Step 1, calculate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m:t>
            </m:r>
            <m:r>
              <w:rPr>
                <w:rFonts w:ascii="Cambria Math" w:hAnsi="Cambria Math"/>
              </w:rPr>
              <m:t>sance</m:t>
            </m:r>
          </m:sub>
        </m:sSub>
        <m:r>
          <w:rPr>
            <w:rFonts w:ascii="Cambria Math" w:hAnsi="Cambria Math"/>
          </w:rPr>
          <m:t>| x, z)</m:t>
        </m:r>
      </m:oMath>
      <w:r w:rsidRPr="00F71D63">
        <w:rPr>
          <w:i/>
        </w:rPr>
        <w:t>.</w:t>
      </w:r>
      <w:r w:rsidRPr="003E267A">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3E267A">
        <w:t xml:space="preserve"> by taking 100,000 draws from a Bernoulli distribution with the success probability set 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3E267A">
        <w:t>.</w:t>
      </w:r>
    </w:p>
    <w:p w14:paraId="2DC68D9D" w14:textId="77777777" w:rsidR="003E267A" w:rsidRPr="003E267A" w:rsidRDefault="003E267A" w:rsidP="00F71D63">
      <w:pPr>
        <w:pStyle w:val="ListParagraph"/>
        <w:numPr>
          <w:ilvl w:val="0"/>
          <w:numId w:val="28"/>
        </w:numPr>
      </w:pPr>
      <w:r w:rsidRPr="003E267A">
        <w:t xml:space="preserve">Calculate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3E267A">
        <w:t xml:space="preserve"> using the identity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3E267A">
        <w:t xml:space="preserve">. Simulate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3E267A">
        <w:t xml:space="preserve"> by taking 100,000 draws from a Bernoulli distribution with the success probability set to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F71D63">
        <w:rPr>
          <w:i/>
        </w:rPr>
        <w:t>.</w:t>
      </w:r>
    </w:p>
    <w:p w14:paraId="353378FB" w14:textId="77777777" w:rsidR="003E267A" w:rsidRPr="003E267A" w:rsidRDefault="003E267A" w:rsidP="00F71D63">
      <w:pPr>
        <w:pStyle w:val="ListParagraph"/>
        <w:numPr>
          <w:ilvl w:val="0"/>
          <w:numId w:val="28"/>
        </w:numPr>
      </w:pPr>
      <w:r w:rsidRPr="003E267A">
        <w:t>Calculate the full observability estimate using the following steps:</w:t>
      </w:r>
    </w:p>
    <w:p w14:paraId="12B510D3" w14:textId="77777777" w:rsidR="003E267A" w:rsidRPr="003E267A" w:rsidRDefault="003E267A" w:rsidP="00F71D63">
      <w:pPr>
        <w:pStyle w:val="ListParagraph"/>
        <w:numPr>
          <w:ilvl w:val="1"/>
          <w:numId w:val="28"/>
        </w:numPr>
      </w:pPr>
      <w:r w:rsidRPr="003E267A">
        <w:t xml:space="preserve">Estimate the usual logistic regression model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m:t>
        </m:r>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cons</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x)</m:t>
        </m:r>
      </m:oMath>
      <w:r w:rsidRPr="003E267A">
        <w:t>.</w:t>
      </w:r>
    </w:p>
    <w:p w14:paraId="475327BF" w14:textId="77777777" w:rsidR="003E267A" w:rsidRPr="003E267A" w:rsidRDefault="003E267A" w:rsidP="00F71D63">
      <w:pPr>
        <w:pStyle w:val="ListParagraph"/>
        <w:numPr>
          <w:ilvl w:val="1"/>
          <w:numId w:val="28"/>
        </w:numPr>
      </w:pPr>
      <w:r w:rsidRPr="003E267A">
        <w:lastRenderedPageBreak/>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Pr="003E267A">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Pr="003E267A">
        <w:t xml:space="preserve"> 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Pr="003E267A">
        <w:t xml:space="preserve"> when </w:t>
      </w:r>
      <w:r w:rsidRPr="00F71D63">
        <w:rPr>
          <w:i/>
        </w:rPr>
        <w:t>x</w:t>
      </w:r>
      <w:r w:rsidRPr="003E267A">
        <w:t xml:space="preserve"> is set to a low value (25th percentile or 0.25) and when </w:t>
      </w:r>
      <w:r w:rsidRPr="00F71D63">
        <w:rPr>
          <w:i/>
        </w:rPr>
        <w:t>x</w:t>
      </w:r>
      <w:r w:rsidRPr="003E267A">
        <w:t xml:space="preserve"> is set to a high value (75th percentile or 0.75). Subtract the latter from the former to obtain an estimate of the effect of changing </w:t>
      </w:r>
      <w:r w:rsidRPr="00F71D63">
        <w:rPr>
          <w:i/>
        </w:rPr>
        <w:t>x</w:t>
      </w:r>
      <w:r w:rsidRPr="003E267A">
        <w:t xml:space="preserve"> from 0.25 to 0.75 on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F71D63">
        <w:rPr>
          <w:i/>
        </w:rPr>
        <w:t xml:space="preserve">. </w:t>
      </w:r>
      <w:r w:rsidRPr="003E267A">
        <w:t>Store this estimate.</w:t>
      </w:r>
    </w:p>
    <w:p w14:paraId="5C28B3F6" w14:textId="77777777" w:rsidR="003E267A" w:rsidRPr="003E267A" w:rsidRDefault="003E267A" w:rsidP="00F71D63">
      <w:pPr>
        <w:pStyle w:val="ListParagraph"/>
        <w:numPr>
          <w:ilvl w:val="0"/>
          <w:numId w:val="28"/>
        </w:numPr>
      </w:pPr>
      <w:r w:rsidRPr="003E267A">
        <w:t>Calculate the partial observability estimate using the following steps:</w:t>
      </w:r>
    </w:p>
    <w:p w14:paraId="208CBB96" w14:textId="77777777" w:rsidR="003E267A" w:rsidRPr="00F71D63" w:rsidRDefault="003E267A" w:rsidP="00F71D63">
      <w:pPr>
        <w:pStyle w:val="ListParagraph"/>
        <w:numPr>
          <w:ilvl w:val="1"/>
          <w:numId w:val="28"/>
        </w:numPr>
      </w:pPr>
      <w:r w:rsidRPr="003E267A">
        <w:t>Estimate the partial observability logistic regression model</w:t>
      </w:r>
    </w:p>
    <w:p w14:paraId="52052D74" w14:textId="77777777" w:rsidR="003E267A" w:rsidRPr="00F71D63" w:rsidRDefault="003E267A" w:rsidP="00F71D63">
      <w:pPr>
        <w:jc w:val="center"/>
        <w:rPr>
          <w:sz w:val="18"/>
          <w:szCs w:val="18"/>
        </w:rPr>
      </w:p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cons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x</m:t>
            </m:r>
          </m:sub>
        </m:sSub>
        <m:r>
          <w:rPr>
            <w:rFonts w:ascii="Cambria Math" w:hAnsi="Cambria Math"/>
            <w:sz w:val="18"/>
            <w:szCs w:val="18"/>
          </w:rPr>
          <m:t xml:space="preserve">x) +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con</m:t>
            </m:r>
            <m:r>
              <w:rPr>
                <w:rFonts w:ascii="Cambria Math" w:hAnsi="Cambria Math" w:cs="Cambria Math"/>
                <w:sz w:val="18"/>
                <w:szCs w:val="18"/>
              </w:rPr>
              <m:t>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x</m:t>
            </m:r>
          </m:sub>
        </m:sSub>
        <m:r>
          <w:rPr>
            <w:rFonts w:ascii="Cambria Math" w:hAnsi="Cambria Math"/>
            <w:sz w:val="18"/>
            <w:szCs w:val="18"/>
          </w:rPr>
          <m:t xml:space="preserve">x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z</m:t>
            </m:r>
          </m:sub>
        </m:sSub>
        <m:r>
          <w:rPr>
            <w:rFonts w:ascii="Cambria Math" w:hAnsi="Cambria Math"/>
            <w:sz w:val="18"/>
            <w:szCs w:val="18"/>
          </w:rPr>
          <m:t xml:space="preserve">z)×(1 -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cons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x</m:t>
            </m:r>
          </m:sub>
        </m:sSub>
        <m:r>
          <w:rPr>
            <w:rFonts w:ascii="Cambria Math" w:hAnsi="Cambria Math"/>
            <w:sz w:val="18"/>
            <w:szCs w:val="18"/>
          </w:rPr>
          <m:t>x))</m:t>
        </m:r>
      </m:oMath>
      <w:r w:rsidRPr="00F71D63">
        <w:rPr>
          <w:i/>
          <w:sz w:val="18"/>
          <w:szCs w:val="18"/>
        </w:rPr>
        <w:t>.</w:t>
      </w:r>
    </w:p>
    <w:p w14:paraId="6D96559B" w14:textId="50628D25" w:rsidR="003E267A" w:rsidRDefault="001B3BAF" w:rsidP="00F71D63">
      <w:pPr>
        <w:pStyle w:val="ListParagraph"/>
        <w:numPr>
          <w:ilvl w:val="1"/>
          <w:numId w:val="28"/>
        </w:numPr>
      </w:pPr>
      <w:r>
        <w:t>Use the (large-sample)</w:t>
      </w:r>
      <w:r w:rsidR="003E267A" w:rsidRPr="003E267A">
        <w:t xml:space="preserv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003E267A" w:rsidRPr="003E267A">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3E267A" w:rsidRPr="003E267A">
        <w:t xml:space="preserve"> 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3E267A" w:rsidRPr="003E267A">
        <w:t xml:space="preserve"> when </w:t>
      </w:r>
      <w:r w:rsidR="003E267A" w:rsidRPr="00F71D63">
        <w:rPr>
          <w:i/>
        </w:rPr>
        <w:t>x</w:t>
      </w:r>
      <w:r w:rsidR="003E267A" w:rsidRPr="003E267A">
        <w:t xml:space="preserve"> is set to a low value (25th percentile or 0.25) and when </w:t>
      </w:r>
      <w:r w:rsidR="003E267A" w:rsidRPr="00F71D63">
        <w:rPr>
          <w:i/>
        </w:rPr>
        <w:t>x</w:t>
      </w:r>
      <w:r w:rsidR="003E267A" w:rsidRPr="003E267A">
        <w:t xml:space="preserve"> is set to a high value (75th percentile or 0.75). Subtract the latter from the former to obtain an estimate of the effect of changing </w:t>
      </w:r>
      <w:r w:rsidR="003E267A" w:rsidRPr="00F71D63">
        <w:rPr>
          <w:i/>
        </w:rPr>
        <w:t>x</w:t>
      </w:r>
      <w:r w:rsidR="003E267A" w:rsidRPr="003E267A">
        <w:t xml:space="preserve"> from 0.25 to 0.75 on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003E267A" w:rsidRPr="003E267A">
        <w:t>. Store this estimate.</w:t>
      </w:r>
    </w:p>
    <w:p w14:paraId="7626C6E6" w14:textId="3B5F02A3" w:rsidR="003E267A" w:rsidRPr="003E267A" w:rsidRDefault="003E267A" w:rsidP="00F71D63">
      <w:pPr>
        <w:pStyle w:val="ListParagraph"/>
        <w:numPr>
          <w:ilvl w:val="0"/>
          <w:numId w:val="28"/>
        </w:numPr>
      </w:pPr>
      <w:r w:rsidRPr="003E267A">
        <w:t>Calculate the true effect using the parameters of the hypothetical relationship generated in Step 1 and the true functional form. Store this estimate.</w:t>
      </w:r>
    </w:p>
    <w:p w14:paraId="2EE61B79" w14:textId="3B778918" w:rsidR="0041562E" w:rsidRDefault="00737FE0" w:rsidP="009B76DB">
      <w:r>
        <w:t>W</w:t>
      </w:r>
      <w:r w:rsidR="00A831F5" w:rsidRPr="00141CFA">
        <w:t>e consider two estimands (potential quantities of interest). First, we examine how well the full and partial observability models estimate the probability of the event of key interest (i.e.</w:t>
      </w:r>
      <w:r w:rsidR="00625C10" w:rsidRPr="00141CFA">
        <w:t>,</w:t>
      </w:r>
      <w:r w:rsidR="00A831F5" w:rsidRPr="00141CFA">
        <w:t xml:space="preserve">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625C10" w:rsidRPr="00141CFA">
        <w:t xml:space="preserve">) </w:t>
      </w:r>
      <w:r w:rsidR="00A831F5" w:rsidRPr="00141CFA">
        <w:t>when the explanatory variable takes on a central value (</w:t>
      </w:r>
      <m:oMath>
        <m:r>
          <w:rPr>
            <w:rFonts w:ascii="Cambria Math" w:hAnsi="Cambria Math"/>
          </w:rPr>
          <m:t>x = 0.5</m:t>
        </m:r>
      </m:oMath>
      <w:r w:rsidR="00272BFF" w:rsidRPr="00141CFA">
        <w:t xml:space="preserve"> </w:t>
      </w:r>
      <w:r w:rsidR="00A831F5" w:rsidRPr="00141CFA">
        <w:t>in our simulations). S</w:t>
      </w:r>
      <w:r>
        <w:t>econd, we</w:t>
      </w:r>
      <w:r w:rsidR="00A831F5" w:rsidRPr="00141CFA">
        <w:t xml:space="preserve"> estimate how this probability changes as </w:t>
      </w:r>
      <w:r w:rsidR="00A831F5" w:rsidRPr="00141CFA">
        <w:rPr>
          <w:i/>
        </w:rPr>
        <w:t xml:space="preserve">x </w:t>
      </w:r>
      <w:r w:rsidR="00A831F5" w:rsidRPr="00141CFA">
        <w:t>moves from its 25th to 75th percentile (from 0.25 to 0.75 in our example). Although the estimators are equally good in the theoretical sense that they are bot</w:t>
      </w:r>
      <w:r>
        <w:t xml:space="preserve">h </w:t>
      </w:r>
      <w:r w:rsidR="00A831F5" w:rsidRPr="00141CFA">
        <w:t>consistent but biased in small samples, we show that the partial observa</w:t>
      </w:r>
      <w:r w:rsidR="00451102">
        <w:t>bility model is quite sensitive</w:t>
      </w:r>
      <w:r w:rsidR="00A831F5" w:rsidRPr="00141CFA">
        <w:t xml:space="preserve"> to seemingly innocuous specification errors. Indeed, specification errors that have almost no impact on the inferences from a full observability logistic regression model lead to large biases in a partial observability model. </w:t>
      </w:r>
    </w:p>
    <w:p w14:paraId="54CBA985" w14:textId="2433424A" w:rsidR="009B76DB" w:rsidRPr="00141CFA" w:rsidRDefault="009B76DB" w:rsidP="009B76DB">
      <w:pPr>
        <w:pStyle w:val="Heading1"/>
      </w:pPr>
      <w:r>
        <w:t>Results</w:t>
      </w:r>
    </w:p>
    <w:p w14:paraId="3EA040A7" w14:textId="3EF46266" w:rsidR="00D46A50" w:rsidRPr="00D46A50" w:rsidRDefault="00D5189A" w:rsidP="00E11B1D">
      <w:r w:rsidRPr="00141CFA">
        <w:fldChar w:fldCharType="begin"/>
      </w:r>
      <w:r w:rsidRPr="00141CFA">
        <w:instrText xml:space="preserve"> REF _Ref263843309 \h </w:instrText>
      </w:r>
      <w:r w:rsidRPr="00141CFA">
        <w:fldChar w:fldCharType="separate"/>
      </w:r>
      <w:r w:rsidR="00F71D63" w:rsidRPr="00141CFA">
        <w:t xml:space="preserve">Figure </w:t>
      </w:r>
      <w:r w:rsidR="00F71D63">
        <w:rPr>
          <w:noProof/>
        </w:rPr>
        <w:t>1</w:t>
      </w:r>
      <w:r w:rsidRPr="00141CFA">
        <w:fldChar w:fldCharType="end"/>
      </w:r>
      <w:r w:rsidR="00A831F5" w:rsidRPr="00141CFA">
        <w:t xml:space="preserve"> shows how well the full and partial observability</w:t>
      </w:r>
      <w:r w:rsidR="00451102">
        <w:t xml:space="preserve"> models estimate the </w:t>
      </w:r>
      <w:r w:rsidR="00A831F5" w:rsidRPr="00141CFA">
        <w:t>probability of the event of interest when the explanatory variable takes on a central value</w:t>
      </w:r>
      <w:r w:rsidR="00AC7CEC" w:rsidRPr="00141CFA">
        <w:t xml:space="preserve"> </w:t>
      </w:r>
      <w:r w:rsidR="00EB0EE1" w:rsidRPr="00141CFA">
        <w:t>and</w:t>
      </w:r>
      <w:r w:rsidR="00AC7CEC" w:rsidRPr="00141CFA">
        <w:t xml:space="preserve"> the functional form is slightly misspecified</w:t>
      </w:r>
      <w:r w:rsidR="00A831F5" w:rsidRPr="00141CFA">
        <w:t xml:space="preserve">. The figure shows the histogram and density for the large-sample bias in the estimate. The full observability model performs surprisingly well under misspecification. The absolute bias </w:t>
      </w:r>
      <w:r w:rsidR="00EB0EE1" w:rsidRPr="00141CFA">
        <w:t>is</w:t>
      </w:r>
      <w:r w:rsidR="00A831F5" w:rsidRPr="00141CFA">
        <w:t xml:space="preserve"> greater than 0.03 in only </w:t>
      </w:r>
      <w:r w:rsidR="00A831F5" w:rsidRPr="00141CFA">
        <w:lastRenderedPageBreak/>
        <w:t xml:space="preserve">about 10% of the simulations. The partial observability model performs surprisingly poorly. The absolute bias </w:t>
      </w:r>
      <w:r w:rsidR="00EB0EE1" w:rsidRPr="00141CFA">
        <w:t>is</w:t>
      </w:r>
      <w:r w:rsidR="00A831F5" w:rsidRPr="00141CFA">
        <w:t xml:space="preserve"> greater than 0.03 in about 85% of the simulations and greater than 0.55 in 10% of the simulations. </w:t>
      </w:r>
      <w:r w:rsidR="004701CE" w:rsidRPr="00141CFA">
        <w:t xml:space="preserve">That is, even with a large data set and a </w:t>
      </w:r>
      <w:r w:rsidR="00EB0EE1" w:rsidRPr="00141CFA">
        <w:t>benign</w:t>
      </w:r>
      <w:r w:rsidR="004701CE" w:rsidRPr="00141CFA">
        <w:t xml:space="preserve"> scenario for </w:t>
      </w:r>
      <w:r w:rsidR="00EB0EE1" w:rsidRPr="00141CFA">
        <w:t xml:space="preserve">an </w:t>
      </w:r>
      <w:r w:rsidR="004701CE" w:rsidRPr="00141CFA">
        <w:t xml:space="preserve">applied problem, there is a 10% chance that the probability of an event is off by more than half of the possible range! </w:t>
      </w:r>
      <w:r w:rsidR="00D90DC4">
        <w:t>T</w:t>
      </w:r>
      <w:r w:rsidR="00A831F5" w:rsidRPr="00141CFA">
        <w:t>he errors are not symmetrically distributed around the true probability, however.</w:t>
      </w:r>
      <w:r w:rsidR="007132F2">
        <w:t xml:space="preserve"> While overestimation is possible,</w:t>
      </w:r>
      <w:r w:rsidR="00A831F5" w:rsidRPr="00141CFA">
        <w:t xml:space="preserve"> </w:t>
      </w:r>
      <w:r w:rsidR="007132F2">
        <w:t>th</w:t>
      </w:r>
      <w:r w:rsidR="00A831F5" w:rsidRPr="00141CFA">
        <w:t>e partial observability model tends to underestimate the occurrence of the event of interest and can drastically underes</w:t>
      </w:r>
      <w:r w:rsidR="007132F2">
        <w:t>timate it.</w:t>
      </w:r>
    </w:p>
    <w:p w14:paraId="24DD15F2" w14:textId="406FAECF" w:rsidR="00D46A50" w:rsidRDefault="00A64982" w:rsidP="001B3BAF">
      <w:pPr>
        <w:ind w:firstLine="0"/>
        <w:jc w:val="center"/>
        <w:rPr>
          <w:rFonts w:cs="Times New Roman"/>
        </w:rPr>
      </w:pPr>
      <w:r w:rsidRPr="00141CFA">
        <w:rPr>
          <w:rFonts w:cs="Times New Roman"/>
        </w:rPr>
        <w:t xml:space="preserve">[Insert </w:t>
      </w:r>
      <w:r w:rsidR="00CF67C7" w:rsidRPr="00141CFA">
        <w:rPr>
          <w:rFonts w:cs="Times New Roman"/>
        </w:rPr>
        <w:fldChar w:fldCharType="begin"/>
      </w:r>
      <w:r w:rsidR="00CF67C7" w:rsidRPr="00141CFA">
        <w:rPr>
          <w:rFonts w:cs="Times New Roman"/>
        </w:rPr>
        <w:instrText xml:space="preserve"> REF _Ref263843309 \h </w:instrText>
      </w:r>
      <w:r w:rsidR="00D163A1" w:rsidRPr="00141CFA">
        <w:rPr>
          <w:rFonts w:cs="Times New Roman"/>
        </w:rPr>
        <w:instrText xml:space="preserve"> \* MERGEFORMAT </w:instrText>
      </w:r>
      <w:r w:rsidR="00CF67C7" w:rsidRPr="00141CFA">
        <w:rPr>
          <w:rFonts w:cs="Times New Roman"/>
        </w:rPr>
      </w:r>
      <w:r w:rsidR="00CF67C7" w:rsidRPr="00141CFA">
        <w:rPr>
          <w:rFonts w:cs="Times New Roman"/>
        </w:rPr>
        <w:fldChar w:fldCharType="separate"/>
      </w:r>
      <w:r w:rsidR="00F71D63" w:rsidRPr="00F71D63">
        <w:rPr>
          <w:rFonts w:cs="Times New Roman"/>
        </w:rPr>
        <w:t xml:space="preserve">Figure </w:t>
      </w:r>
      <w:r w:rsidR="00F71D63" w:rsidRPr="00F71D63">
        <w:rPr>
          <w:rFonts w:cs="Times New Roman"/>
          <w:noProof/>
        </w:rPr>
        <w:t>1</w:t>
      </w:r>
      <w:r w:rsidR="00CF67C7" w:rsidRPr="00141CFA">
        <w:rPr>
          <w:rFonts w:cs="Times New Roman"/>
        </w:rPr>
        <w:fldChar w:fldCharType="end"/>
      </w:r>
      <w:r w:rsidRPr="00141CFA">
        <w:rPr>
          <w:rFonts w:cs="Times New Roman"/>
        </w:rPr>
        <w:t xml:space="preserve"> about here.]</w:t>
      </w:r>
    </w:p>
    <w:p w14:paraId="1AAB2987" w14:textId="1792072E" w:rsidR="00D46A50" w:rsidRPr="00D46A50" w:rsidRDefault="00A831F5" w:rsidP="00E11B1D">
      <w:r w:rsidRPr="00141CFA">
        <w:t xml:space="preserve">Next, we examine the ability of the partial observability model to estimate how the probability of the event of interest changes as the key explanatory variable </w:t>
      </w:r>
      <w:r w:rsidR="004C168F" w:rsidRPr="00141CFA">
        <w:t>increases</w:t>
      </w:r>
      <w:r w:rsidRPr="00141CFA">
        <w:t xml:space="preserve"> from a low value to a high value (0.2</w:t>
      </w:r>
      <w:r w:rsidR="00CF67C7" w:rsidRPr="00141CFA">
        <w:t xml:space="preserve">5 to 0.75 in our case). </w:t>
      </w:r>
      <w:r w:rsidR="00CF67C7" w:rsidRPr="00141CFA">
        <w:fldChar w:fldCharType="begin"/>
      </w:r>
      <w:r w:rsidR="00CF67C7" w:rsidRPr="00141CFA">
        <w:instrText xml:space="preserve"> REF _Ref263843527 \h </w:instrText>
      </w:r>
      <w:r w:rsidR="00CF67C7" w:rsidRPr="00141CFA">
        <w:fldChar w:fldCharType="separate"/>
      </w:r>
      <w:r w:rsidR="00F71D63" w:rsidRPr="00141CFA">
        <w:t xml:space="preserve">Figure </w:t>
      </w:r>
      <w:r w:rsidR="00F71D63">
        <w:rPr>
          <w:noProof/>
        </w:rPr>
        <w:t>2</w:t>
      </w:r>
      <w:r w:rsidR="00CF67C7" w:rsidRPr="00141CFA">
        <w:fldChar w:fldCharType="end"/>
      </w:r>
      <w:r w:rsidRPr="00141CFA">
        <w:t xml:space="preserve"> shows the results. Again, notice that the full observability estimate produces much less bias than the partial observability model. The absolute bias in the estimated effect from the full observability model is greater than 0.0</w:t>
      </w:r>
      <w:r w:rsidR="00C5680F">
        <w:t>3 in only 10% of the scenarios</w:t>
      </w:r>
      <w:r w:rsidRPr="00141CFA">
        <w:t>. For the partial observability model, the absolute bias is greater tha</w:t>
      </w:r>
      <w:r w:rsidR="00C5680F">
        <w:t>n 0.03 in 80% of the scenarios</w:t>
      </w:r>
      <w:r w:rsidR="00D53EED" w:rsidRPr="00141CFA">
        <w:t>,</w:t>
      </w:r>
      <w:r w:rsidRPr="00141CFA">
        <w:t xml:space="preserve"> and greater th</w:t>
      </w:r>
      <w:r w:rsidR="000C16D1">
        <w:t>an 0.25 in 10% of the scenario</w:t>
      </w:r>
      <w:r w:rsidRPr="00141CFA">
        <w:t xml:space="preserve">s. An effect of 0.25 is quite large in </w:t>
      </w:r>
      <w:r w:rsidR="00A84C24" w:rsidRPr="00141CFA">
        <w:t>the social sciences</w:t>
      </w:r>
      <w:r w:rsidRPr="00141CFA">
        <w:t xml:space="preserve">. This means that the partial observability model is prone to large sample bias </w:t>
      </w:r>
      <w:r w:rsidR="00BB4A14" w:rsidRPr="00141CFA">
        <w:t>—</w:t>
      </w:r>
      <w:r w:rsidRPr="00141CFA">
        <w:t xml:space="preserve"> in fact, </w:t>
      </w:r>
      <w:r w:rsidR="00EB0EE1" w:rsidRPr="00141CFA">
        <w:t xml:space="preserve">bias that is </w:t>
      </w:r>
      <w:r w:rsidRPr="00141CFA">
        <w:t xml:space="preserve">larger than </w:t>
      </w:r>
      <w:r w:rsidR="005D1533" w:rsidRPr="00141CFA">
        <w:t>many</w:t>
      </w:r>
      <w:r w:rsidR="000C16D1">
        <w:t xml:space="preserve"> of the effects this model is</w:t>
      </w:r>
      <w:r w:rsidRPr="00141CFA">
        <w:t xml:space="preserve"> being used to estimate.</w:t>
      </w:r>
    </w:p>
    <w:p w14:paraId="3364D731" w14:textId="582A2A3B" w:rsidR="00D46A50" w:rsidRPr="00141CFA" w:rsidRDefault="00A64982" w:rsidP="001B3BAF">
      <w:pPr>
        <w:ind w:firstLine="0"/>
        <w:jc w:val="center"/>
        <w:rPr>
          <w:rFonts w:cs="Times New Roman"/>
        </w:rPr>
      </w:pPr>
      <w:r w:rsidRPr="00141CFA">
        <w:rPr>
          <w:rFonts w:cs="Times New Roman"/>
        </w:rPr>
        <w:t xml:space="preserve">[Insert </w:t>
      </w:r>
      <w:r w:rsidR="00CF67C7" w:rsidRPr="00141CFA">
        <w:rPr>
          <w:rFonts w:cs="Times New Roman"/>
        </w:rPr>
        <w:fldChar w:fldCharType="begin"/>
      </w:r>
      <w:r w:rsidR="00CF67C7" w:rsidRPr="00141CFA">
        <w:rPr>
          <w:rFonts w:cs="Times New Roman"/>
        </w:rPr>
        <w:instrText xml:space="preserve"> REF _Ref263843527 \h </w:instrText>
      </w:r>
      <w:r w:rsidR="001308C0" w:rsidRPr="00141CFA">
        <w:rPr>
          <w:rFonts w:cs="Times New Roman"/>
        </w:rPr>
        <w:instrText xml:space="preserve"> \* MERGEFORMAT </w:instrText>
      </w:r>
      <w:r w:rsidR="00CF67C7" w:rsidRPr="00141CFA">
        <w:rPr>
          <w:rFonts w:cs="Times New Roman"/>
        </w:rPr>
      </w:r>
      <w:r w:rsidR="00CF67C7" w:rsidRPr="00141CFA">
        <w:rPr>
          <w:rFonts w:cs="Times New Roman"/>
        </w:rPr>
        <w:fldChar w:fldCharType="separate"/>
      </w:r>
      <w:r w:rsidR="00F71D63" w:rsidRPr="00F71D63">
        <w:rPr>
          <w:rFonts w:cs="Times New Roman"/>
        </w:rPr>
        <w:t xml:space="preserve">Figure </w:t>
      </w:r>
      <w:r w:rsidR="00F71D63" w:rsidRPr="00F71D63">
        <w:rPr>
          <w:rFonts w:cs="Times New Roman"/>
          <w:noProof/>
        </w:rPr>
        <w:t>2</w:t>
      </w:r>
      <w:r w:rsidR="00CF67C7" w:rsidRPr="00141CFA">
        <w:rPr>
          <w:rFonts w:cs="Times New Roman"/>
        </w:rPr>
        <w:fldChar w:fldCharType="end"/>
      </w:r>
      <w:r w:rsidR="00CF67C7" w:rsidRPr="00141CFA">
        <w:rPr>
          <w:rFonts w:cs="Times New Roman"/>
        </w:rPr>
        <w:t xml:space="preserve"> </w:t>
      </w:r>
      <w:r w:rsidRPr="00141CFA">
        <w:rPr>
          <w:rFonts w:cs="Times New Roman"/>
        </w:rPr>
        <w:t>about here.]</w:t>
      </w:r>
    </w:p>
    <w:p w14:paraId="2B987038" w14:textId="1CE3F5AF" w:rsidR="00670B2A" w:rsidRDefault="00CF67C7" w:rsidP="00E11B1D">
      <w:pPr>
        <w:rPr>
          <w:rFonts w:cs="Times New Roman"/>
        </w:rPr>
      </w:pPr>
      <w:r w:rsidRPr="00141CFA">
        <w:rPr>
          <w:rFonts w:cs="Times New Roman"/>
        </w:rPr>
        <w:fldChar w:fldCharType="begin"/>
      </w:r>
      <w:r w:rsidRPr="00141CFA">
        <w:rPr>
          <w:rFonts w:cs="Times New Roman"/>
        </w:rPr>
        <w:instrText xml:space="preserve"> REF _Ref263843562 \h </w:instrText>
      </w:r>
      <w:r w:rsidR="004C168F" w:rsidRPr="00141CFA">
        <w:rPr>
          <w:rFonts w:cs="Times New Roman"/>
        </w:rPr>
        <w:instrText xml:space="preserve"> \* MERGEFORMAT </w:instrText>
      </w:r>
      <w:r w:rsidRPr="00141CFA">
        <w:rPr>
          <w:rFonts w:cs="Times New Roman"/>
        </w:rPr>
      </w:r>
      <w:r w:rsidRPr="00141CFA">
        <w:rPr>
          <w:rFonts w:cs="Times New Roman"/>
        </w:rPr>
        <w:fldChar w:fldCharType="separate"/>
      </w:r>
      <w:r w:rsidR="00F71D63" w:rsidRPr="00F71D63">
        <w:rPr>
          <w:rFonts w:cs="Times New Roman"/>
        </w:rPr>
        <w:t>Figure 3</w:t>
      </w:r>
      <w:r w:rsidRPr="00141CFA">
        <w:rPr>
          <w:rFonts w:cs="Times New Roman"/>
        </w:rPr>
        <w:fldChar w:fldCharType="end"/>
      </w:r>
      <w:r w:rsidR="00A831F5" w:rsidRPr="00141CFA">
        <w:rPr>
          <w:rFonts w:cs="Times New Roman"/>
        </w:rPr>
        <w:t xml:space="preserve"> shows the estimated probabilities against the true probabilities for both models when </w:t>
      </w:r>
      <w:r w:rsidR="00A831F5" w:rsidRPr="00141CFA">
        <w:rPr>
          <w:rFonts w:cs="Times New Roman"/>
          <w:i/>
        </w:rPr>
        <w:t>x</w:t>
      </w:r>
      <w:r w:rsidR="00A831F5" w:rsidRPr="00141CFA">
        <w:rPr>
          <w:rFonts w:cs="Times New Roman"/>
        </w:rPr>
        <w:t xml:space="preserve"> is set at a central value</w:t>
      </w:r>
      <w:r w:rsidR="00153E49">
        <w:rPr>
          <w:rFonts w:cs="Times New Roman"/>
        </w:rPr>
        <w:t xml:space="preserve"> for each of the 500 scenarios</w:t>
      </w:r>
      <w:r w:rsidR="007474D8">
        <w:rPr>
          <w:rFonts w:cs="Times New Roman"/>
        </w:rPr>
        <w:t xml:space="preserve">. </w:t>
      </w:r>
      <w:r w:rsidR="00C673FB">
        <w:rPr>
          <w:rFonts w:cs="Times New Roman"/>
        </w:rPr>
        <w:t>The left panel shows that t</w:t>
      </w:r>
      <w:r w:rsidR="003F31AE">
        <w:rPr>
          <w:rFonts w:cs="Times New Roman"/>
        </w:rPr>
        <w:t xml:space="preserve">he full observability estimates are very strongly correlated with the true </w:t>
      </w:r>
      <w:r w:rsidR="00A72FA3">
        <w:rPr>
          <w:rFonts w:cs="Times New Roman"/>
        </w:rPr>
        <w:t xml:space="preserve">estimates </w:t>
      </w:r>
      <w:r w:rsidR="00A831F5" w:rsidRPr="00141CFA">
        <w:rPr>
          <w:rFonts w:cs="Times New Roman"/>
        </w:rPr>
        <w:t xml:space="preserve">(Kendall’s </w:t>
      </w:r>
      <m:oMath>
        <m:r>
          <m:rPr>
            <m:sty m:val="p"/>
          </m:rPr>
          <w:rPr>
            <w:rFonts w:ascii="Cambria Math" w:hAnsi="Cambria Math" w:cs="Times New Roman"/>
          </w:rPr>
          <m:t>τ</m:t>
        </m:r>
      </m:oMath>
      <w:r w:rsidR="00A831F5" w:rsidRPr="00141CFA">
        <w:rPr>
          <w:rFonts w:cs="Times New Roman"/>
        </w:rPr>
        <w:t>= 0.93)</w:t>
      </w:r>
      <w:r w:rsidR="00643917">
        <w:rPr>
          <w:rFonts w:cs="Times New Roman"/>
        </w:rPr>
        <w:t>.</w:t>
      </w:r>
      <w:r w:rsidR="00A831F5" w:rsidRPr="00141CFA">
        <w:rPr>
          <w:rFonts w:cs="Times New Roman"/>
        </w:rPr>
        <w:t>.</w:t>
      </w:r>
      <w:r w:rsidR="00A831F5" w:rsidRPr="00141CFA">
        <w:rPr>
          <w:rFonts w:cs="Times New Roman"/>
          <w:vertAlign w:val="superscript"/>
        </w:rPr>
        <w:footnoteReference w:id="9"/>
      </w:r>
      <w:r w:rsidR="007474D8">
        <w:rPr>
          <w:rFonts w:cs="Times New Roman"/>
        </w:rPr>
        <w:t xml:space="preserve"> However, the </w:t>
      </w:r>
      <w:r w:rsidR="00A831F5" w:rsidRPr="00141CFA">
        <w:rPr>
          <w:rFonts w:cs="Times New Roman"/>
        </w:rPr>
        <w:t>relationship between the true probability and the estimated probability from the partial observability model</w:t>
      </w:r>
      <w:r w:rsidR="007474D8">
        <w:rPr>
          <w:rFonts w:cs="Times New Roman"/>
        </w:rPr>
        <w:t xml:space="preserve"> is extremely weak</w:t>
      </w:r>
      <w:r w:rsidR="00A831F5" w:rsidRPr="00141CFA">
        <w:rPr>
          <w:rFonts w:cs="Times New Roman"/>
        </w:rPr>
        <w:t xml:space="preserve"> (Kendall’s </w:t>
      </w:r>
      <m:oMath>
        <m:r>
          <m:rPr>
            <m:sty m:val="p"/>
          </m:rPr>
          <w:rPr>
            <w:rFonts w:ascii="Cambria Math" w:hAnsi="Cambria Math" w:cs="Times New Roman"/>
          </w:rPr>
          <m:t>τ</m:t>
        </m:r>
      </m:oMath>
      <w:r w:rsidR="00A831F5" w:rsidRPr="00141CFA">
        <w:rPr>
          <w:rFonts w:cs="Times New Roman"/>
        </w:rPr>
        <w:t xml:space="preserve">= </w:t>
      </w:r>
      <w:r w:rsidR="00A831F5" w:rsidRPr="00141CFA">
        <w:rPr>
          <w:rFonts w:cs="Times New Roman"/>
        </w:rPr>
        <w:lastRenderedPageBreak/>
        <w:t xml:space="preserve">0.20). </w:t>
      </w:r>
      <w:r w:rsidR="00643917">
        <w:rPr>
          <w:rFonts w:cs="Times New Roman"/>
        </w:rPr>
        <w:t xml:space="preserve">While seemingly innocuous specification errors have essentially no effect on the bias of the estimator under full observability, the effect can be </w:t>
      </w:r>
      <w:r w:rsidR="00720D20">
        <w:rPr>
          <w:rFonts w:cs="Times New Roman"/>
        </w:rPr>
        <w:t>quite large under partial observability.</w:t>
      </w:r>
    </w:p>
    <w:p w14:paraId="1215D589" w14:textId="598F7F48" w:rsidR="00670B2A" w:rsidRPr="00E11B1D" w:rsidRDefault="00CF67C7" w:rsidP="001B3BAF">
      <w:pPr>
        <w:ind w:firstLine="0"/>
        <w:jc w:val="center"/>
        <w:rPr>
          <w:rFonts w:cs="Times New Roman"/>
        </w:rPr>
      </w:pPr>
      <w:r w:rsidRPr="00141CFA">
        <w:rPr>
          <w:rFonts w:cs="Times New Roman"/>
        </w:rPr>
        <w:t xml:space="preserve">[Insert </w:t>
      </w:r>
      <w:r w:rsidRPr="00141CFA">
        <w:rPr>
          <w:rFonts w:cs="Times New Roman"/>
        </w:rPr>
        <w:fldChar w:fldCharType="begin"/>
      </w:r>
      <w:r w:rsidRPr="00141CFA">
        <w:rPr>
          <w:rFonts w:cs="Times New Roman"/>
        </w:rPr>
        <w:instrText xml:space="preserve"> REF _Ref263843562 \h </w:instrText>
      </w:r>
      <w:r w:rsidR="001308C0" w:rsidRPr="00141CFA">
        <w:rPr>
          <w:rFonts w:cs="Times New Roman"/>
        </w:rPr>
        <w:instrText xml:space="preserve"> \* MERGEFORMAT </w:instrText>
      </w:r>
      <w:r w:rsidRPr="00141CFA">
        <w:rPr>
          <w:rFonts w:cs="Times New Roman"/>
        </w:rPr>
      </w:r>
      <w:r w:rsidRPr="00141CFA">
        <w:rPr>
          <w:rFonts w:cs="Times New Roman"/>
        </w:rPr>
        <w:fldChar w:fldCharType="separate"/>
      </w:r>
      <w:r w:rsidR="00F71D63" w:rsidRPr="00F71D63">
        <w:rPr>
          <w:rFonts w:cs="Times New Roman"/>
        </w:rPr>
        <w:t xml:space="preserve">Figure </w:t>
      </w:r>
      <w:r w:rsidR="00F71D63" w:rsidRPr="00F71D63">
        <w:rPr>
          <w:rFonts w:cs="Times New Roman"/>
          <w:noProof/>
        </w:rPr>
        <w:t>3</w:t>
      </w:r>
      <w:r w:rsidRPr="00141CFA">
        <w:rPr>
          <w:rFonts w:cs="Times New Roman"/>
        </w:rPr>
        <w:fldChar w:fldCharType="end"/>
      </w:r>
      <w:r w:rsidRPr="00141CFA">
        <w:rPr>
          <w:rFonts w:cs="Times New Roman"/>
        </w:rPr>
        <w:t xml:space="preserve"> about here.]</w:t>
      </w:r>
    </w:p>
    <w:p w14:paraId="6AAD9D4B" w14:textId="7112DE98" w:rsidR="00670B2A" w:rsidRDefault="00CF67C7" w:rsidP="00E11B1D">
      <w:r w:rsidRPr="00141CFA">
        <w:fldChar w:fldCharType="begin"/>
      </w:r>
      <w:r w:rsidRPr="00141CFA">
        <w:instrText xml:space="preserve"> REF _Ref263843608 \h </w:instrText>
      </w:r>
      <w:r w:rsidRPr="00141CFA">
        <w:fldChar w:fldCharType="separate"/>
      </w:r>
      <w:r w:rsidR="00F71D63" w:rsidRPr="00141CFA">
        <w:t xml:space="preserve">Figure </w:t>
      </w:r>
      <w:r w:rsidR="00F71D63">
        <w:rPr>
          <w:noProof/>
        </w:rPr>
        <w:t>4</w:t>
      </w:r>
      <w:r w:rsidRPr="00141CFA">
        <w:fldChar w:fldCharType="end"/>
      </w:r>
      <w:r w:rsidR="00A831F5" w:rsidRPr="00141CFA">
        <w:t xml:space="preserve"> shows the scatterplots of the </w:t>
      </w:r>
      <w:r w:rsidR="0095451E" w:rsidRPr="00141CFA">
        <w:t xml:space="preserve">true effect and the </w:t>
      </w:r>
      <w:r w:rsidR="00A831F5" w:rsidRPr="00141CFA">
        <w:t xml:space="preserve">estimated effect for both models. </w:t>
      </w:r>
      <w:r w:rsidR="003E267A">
        <w:t xml:space="preserve">As before, the </w:t>
      </w:r>
      <w:r w:rsidR="00A831F5" w:rsidRPr="00141CFA">
        <w:t xml:space="preserve">correlation between the true effect and the estimated effect under full observability </w:t>
      </w:r>
      <w:r w:rsidR="003E267A">
        <w:t xml:space="preserve">is extremely strong </w:t>
      </w:r>
      <w:r w:rsidR="00A831F5" w:rsidRPr="00141CFA">
        <w:t xml:space="preserve">(Kendall’s </w:t>
      </w:r>
      <m:oMath>
        <m:r>
          <m:rPr>
            <m:sty m:val="p"/>
          </m:rPr>
          <w:rPr>
            <w:rFonts w:ascii="Cambria Math" w:hAnsi="Cambria Math"/>
          </w:rPr>
          <m:t>τ</m:t>
        </m:r>
      </m:oMath>
      <w:r w:rsidR="003E267A">
        <w:t>= 0.99). While t</w:t>
      </w:r>
      <w:r w:rsidR="00A831F5" w:rsidRPr="00141CFA">
        <w:t xml:space="preserve">he partial observability model does a substantially better job </w:t>
      </w:r>
      <w:r w:rsidR="0095451E" w:rsidRPr="00141CFA">
        <w:t xml:space="preserve">of </w:t>
      </w:r>
      <w:r w:rsidR="00A831F5" w:rsidRPr="00141CFA">
        <w:t>estimating effects tha</w:t>
      </w:r>
      <w:r w:rsidR="003E267A">
        <w:t xml:space="preserve">n estimating probabilities, </w:t>
      </w:r>
      <w:r w:rsidR="00A831F5" w:rsidRPr="00141CFA">
        <w:t>the correlation between the true effect and the partial observabili</w:t>
      </w:r>
      <w:r w:rsidR="00720D20">
        <w:t xml:space="preserve">ty estimate is still quite </w:t>
      </w:r>
      <w:r w:rsidR="00A831F5" w:rsidRPr="00141CFA">
        <w:t xml:space="preserve">weak (Kendall’s </w:t>
      </w:r>
      <m:oMath>
        <m:r>
          <m:rPr>
            <m:sty m:val="p"/>
          </m:rPr>
          <w:rPr>
            <w:rFonts w:ascii="Cambria Math" w:hAnsi="Cambria Math"/>
          </w:rPr>
          <m:t>τ</m:t>
        </m:r>
      </m:oMath>
      <w:r w:rsidR="00A831F5" w:rsidRPr="00141CFA">
        <w:t xml:space="preserve">= 0.62). </w:t>
      </w:r>
      <w:r w:rsidR="003E267A">
        <w:t>O</w:t>
      </w:r>
      <w:r w:rsidR="00A831F5" w:rsidRPr="00141CFA">
        <w:t>nly 40 of the 500 (8%) simulations produce a sign error</w:t>
      </w:r>
      <w:r w:rsidR="003E267A">
        <w:t>, so the partial observability estimator does tend to get the sign correct</w:t>
      </w:r>
      <w:r w:rsidR="00A831F5" w:rsidRPr="00141CFA">
        <w:t>. However, the full observability model produces no sign errors.</w:t>
      </w:r>
    </w:p>
    <w:p w14:paraId="21782CC0" w14:textId="7BF26D91" w:rsidR="00670B2A" w:rsidRPr="00141CFA" w:rsidRDefault="00CF67C7" w:rsidP="001B3BAF">
      <w:pPr>
        <w:ind w:firstLine="0"/>
        <w:jc w:val="center"/>
      </w:pPr>
      <w:r w:rsidRPr="00141CFA">
        <w:t xml:space="preserve">[Insert </w:t>
      </w:r>
      <w:r w:rsidRPr="00141CFA">
        <w:fldChar w:fldCharType="begin"/>
      </w:r>
      <w:r w:rsidRPr="00141CFA">
        <w:instrText xml:space="preserve"> REF _Ref263843608 \h </w:instrText>
      </w:r>
      <w:r w:rsidRPr="00141CFA">
        <w:fldChar w:fldCharType="separate"/>
      </w:r>
      <w:r w:rsidR="00F71D63" w:rsidRPr="00141CFA">
        <w:t xml:space="preserve">Figure </w:t>
      </w:r>
      <w:r w:rsidR="00F71D63">
        <w:rPr>
          <w:noProof/>
        </w:rPr>
        <w:t>4</w:t>
      </w:r>
      <w:r w:rsidRPr="00141CFA">
        <w:fldChar w:fldCharType="end"/>
      </w:r>
      <w:r w:rsidRPr="00141CFA">
        <w:t xml:space="preserve"> about here.]</w:t>
      </w:r>
    </w:p>
    <w:p w14:paraId="00FFB708" w14:textId="6D1D5877" w:rsidR="00AE5DE1" w:rsidRPr="00141CFA" w:rsidRDefault="00AE5DE1" w:rsidP="003E267A">
      <w:pPr>
        <w:pStyle w:val="Heading1"/>
        <w:spacing w:line="360" w:lineRule="auto"/>
      </w:pPr>
      <w:r w:rsidRPr="00141CFA">
        <w:t>Conclusion</w:t>
      </w:r>
    </w:p>
    <w:p w14:paraId="08432B77" w14:textId="499A59B7" w:rsidR="00E22B14" w:rsidRPr="00E22B14" w:rsidRDefault="001B3BAF" w:rsidP="00EB0EFA">
      <w:r>
        <w:t>These simulations demonstrate,</w:t>
      </w:r>
      <w:r w:rsidR="000D2D12" w:rsidRPr="00141CFA">
        <w:t xml:space="preserve"> what we think is an under-appreciated </w:t>
      </w:r>
      <w:r w:rsidR="00E11B1D">
        <w:t>but critical characteristic</w:t>
      </w:r>
      <w:r w:rsidR="000D2D12" w:rsidRPr="00141CFA">
        <w:t xml:space="preserve"> of</w:t>
      </w:r>
      <w:r w:rsidR="00E11B1D">
        <w:t xml:space="preserve"> partial observability models—</w:t>
      </w:r>
      <w:r w:rsidR="000D2D12" w:rsidRPr="00141CFA">
        <w:t xml:space="preserve">they are quite sensitive to seemingly innocuous specification errors. </w:t>
      </w:r>
      <w:r w:rsidR="00E11B1D">
        <w:t>Researchers commonly interpret s</w:t>
      </w:r>
      <w:r w:rsidR="000D2D12" w:rsidRPr="00141CFA">
        <w:t xml:space="preserve">tandard errors </w:t>
      </w:r>
      <w:r w:rsidR="00E11B1D">
        <w:t>as the uncertainty of the estimate</w:t>
      </w:r>
      <w:r w:rsidR="000D2D12" w:rsidRPr="00141CFA">
        <w:t>. Howev</w:t>
      </w:r>
      <w:r w:rsidR="00E11B1D">
        <w:t xml:space="preserve">er, standard errors only capture </w:t>
      </w:r>
      <w:r w:rsidR="000D2D12" w:rsidRPr="00141CFA">
        <w:t xml:space="preserve">the uncertainty due to sampling variation. </w:t>
      </w:r>
      <w:r w:rsidR="00E11B1D">
        <w:t xml:space="preserve">Other </w:t>
      </w:r>
      <w:r w:rsidR="000D2D12" w:rsidRPr="00141CFA">
        <w:t xml:space="preserve">sources of </w:t>
      </w:r>
      <w:r w:rsidR="00E11B1D">
        <w:t xml:space="preserve">are present </w:t>
      </w:r>
      <w:r w:rsidR="000D2D12" w:rsidRPr="00141CFA">
        <w:t>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w:t>
      </w:r>
      <w:r w:rsidR="00E11B1D">
        <w:t>ion error of the partial observability model can be quite large,</w:t>
      </w:r>
      <w:r w:rsidR="000D2D12" w:rsidRPr="00141CFA">
        <w:t xml:space="preserve"> are rarely negligible</w:t>
      </w:r>
      <w:r w:rsidR="00E11B1D">
        <w:t>, and are not captured in the standard errors</w:t>
      </w:r>
      <w:r w:rsidR="000D2D12" w:rsidRPr="00141CFA">
        <w:t>.</w:t>
      </w:r>
      <w:bookmarkStart w:id="7" w:name="h.skhcaemba80u" w:colFirst="0" w:colLast="0"/>
      <w:bookmarkEnd w:id="7"/>
    </w:p>
    <w:p w14:paraId="5D658E3A" w14:textId="4BC5B569" w:rsidR="0041562E" w:rsidRPr="00697AE1" w:rsidRDefault="00A831F5" w:rsidP="003E267A">
      <w:pPr>
        <w:pStyle w:val="Heading1"/>
      </w:pPr>
      <w:r w:rsidRPr="00141CFA">
        <w:t>References</w:t>
      </w:r>
    </w:p>
    <w:p w14:paraId="45F28A5A" w14:textId="1EE720D3" w:rsidR="008E54A1" w:rsidRPr="00FA4BAA" w:rsidRDefault="005812B7" w:rsidP="00D40905">
      <w:pPr>
        <w:pStyle w:val="References"/>
      </w:pPr>
      <w:r w:rsidRPr="00FA4BAA">
        <w:t xml:space="preserve">Abowd, John M., and Henry S. Farber. 1982. “Job Queues and the Union Status of Workers.” </w:t>
      </w:r>
      <w:r w:rsidRPr="00FA4BAA">
        <w:rPr>
          <w:i/>
        </w:rPr>
        <w:t>Industrial and Labor Relations Review</w:t>
      </w:r>
      <w:r w:rsidRPr="00FA4BAA">
        <w:t xml:space="preserve"> 35:354-367.</w:t>
      </w:r>
    </w:p>
    <w:p w14:paraId="01232F87" w14:textId="40E150D7" w:rsidR="0041562E" w:rsidRPr="00FA4BAA" w:rsidRDefault="008E54A1" w:rsidP="00D40905">
      <w:pPr>
        <w:pStyle w:val="References"/>
      </w:pPr>
      <w:r w:rsidRPr="00FA4BAA">
        <w:lastRenderedPageBreak/>
        <w:t>Amir</w:t>
      </w:r>
      <w:r w:rsidR="006C5E30" w:rsidRPr="00FA4BAA">
        <w:t>, Shmueli</w:t>
      </w:r>
      <w:r w:rsidRPr="00FA4BAA">
        <w:t xml:space="preserve">. 2001. “The Effect of Health on Acute Care Supplemental Insurance Ownership: An Empirical Analysis.” </w:t>
      </w:r>
      <w:r w:rsidRPr="00FA4BAA">
        <w:rPr>
          <w:i/>
        </w:rPr>
        <w:t>Health Economics</w:t>
      </w:r>
      <w:r w:rsidRPr="00FA4BAA">
        <w:t xml:space="preserve"> 10: 341-350.</w:t>
      </w:r>
    </w:p>
    <w:p w14:paraId="241C66F0" w14:textId="1C37B069" w:rsidR="00272BFF" w:rsidRPr="00FA4BAA" w:rsidRDefault="009D2B14" w:rsidP="00D40905">
      <w:pPr>
        <w:pStyle w:val="References"/>
      </w:pPr>
      <w:r w:rsidRPr="00FA4BAA">
        <w:t xml:space="preserve">Boyes, William J., Dennis L. Hoffman, and Stuart A. Low. 1989. “An Econometric Analysis of the Bank Credit Scoring Problem." </w:t>
      </w:r>
      <w:r w:rsidRPr="00FA4BAA">
        <w:rPr>
          <w:i/>
        </w:rPr>
        <w:t>Journal of Econometrics</w:t>
      </w:r>
      <w:r w:rsidRPr="00FA4BAA">
        <w:t xml:space="preserve"> 40: 3-14.</w:t>
      </w:r>
    </w:p>
    <w:p w14:paraId="70CD899F" w14:textId="3CE0EED8" w:rsidR="00E6065D" w:rsidRPr="00FA4BAA" w:rsidRDefault="00A831F5" w:rsidP="00D40905">
      <w:pPr>
        <w:pStyle w:val="References"/>
      </w:pPr>
      <w:r w:rsidRPr="00FA4BAA">
        <w:t xml:space="preserve">Braumoeller, Bear F. 2003. “Causal Complexity and the Study of Politics.” </w:t>
      </w:r>
      <w:r w:rsidRPr="00FA4BAA">
        <w:rPr>
          <w:i/>
        </w:rPr>
        <w:t>Political Analysis</w:t>
      </w:r>
      <w:r w:rsidRPr="00FA4BAA">
        <w:t xml:space="preserve"> 11:209-233.</w:t>
      </w:r>
    </w:p>
    <w:p w14:paraId="75AE5635" w14:textId="6D42F5E9" w:rsidR="00072D7A" w:rsidRPr="00FA4BAA" w:rsidRDefault="00E6065D" w:rsidP="00D40905">
      <w:pPr>
        <w:pStyle w:val="References"/>
      </w:pPr>
      <w:r w:rsidRPr="00FA4BAA">
        <w:t xml:space="preserve">Braumoeller, Bear F. and Austin Carson. 2011. “Political Irrelevance, Democracy, and the Limits of Militarized Conflict.” </w:t>
      </w:r>
      <w:r w:rsidRPr="00FA4BAA">
        <w:rPr>
          <w:i/>
        </w:rPr>
        <w:t>Journal of Conflict Resolution</w:t>
      </w:r>
      <w:r w:rsidRPr="00FA4BAA">
        <w:t xml:space="preserve"> 55:292-320.</w:t>
      </w:r>
    </w:p>
    <w:p w14:paraId="218035D1" w14:textId="77777777" w:rsidR="0018584C" w:rsidRPr="00FA4BAA" w:rsidRDefault="00072D7A" w:rsidP="00D40905">
      <w:pPr>
        <w:pStyle w:val="References"/>
        <w:rPr>
          <w:szCs w:val="20"/>
        </w:rPr>
      </w:pPr>
      <w:r w:rsidRPr="00FA4BAA">
        <w:rPr>
          <w:szCs w:val="20"/>
        </w:rPr>
        <w:t xml:space="preserve">Chen, Gongmeng, Michael Firth, Daniel N. Gao, and Oliver M. Rui. 2006. “Ownership Structure, Corporate Governance, and Fraud: Evidence from China.” </w:t>
      </w:r>
      <w:r w:rsidRPr="00FA4BAA">
        <w:rPr>
          <w:i/>
          <w:szCs w:val="20"/>
        </w:rPr>
        <w:t>Journal of Corporate Finance</w:t>
      </w:r>
      <w:r w:rsidRPr="00FA4BAA">
        <w:rPr>
          <w:szCs w:val="20"/>
        </w:rPr>
        <w:t xml:space="preserve"> 12: 424-448.</w:t>
      </w:r>
    </w:p>
    <w:p w14:paraId="53ED8350" w14:textId="7AB96565" w:rsidR="005C4AC7" w:rsidRPr="00FA4BAA" w:rsidRDefault="00BE2F32" w:rsidP="00D40905">
      <w:pPr>
        <w:pStyle w:val="References"/>
        <w:rPr>
          <w:szCs w:val="20"/>
        </w:rPr>
      </w:pPr>
      <w:r w:rsidRPr="00FA4BAA">
        <w:rPr>
          <w:szCs w:val="20"/>
        </w:rPr>
        <w:t xml:space="preserve">Comola, Margherita, and Marcel Fafchamps. 2014. “Testing Unilateral and Bilateral Link Formation.” </w:t>
      </w:r>
      <w:r w:rsidRPr="00FA4BAA">
        <w:rPr>
          <w:i/>
          <w:szCs w:val="20"/>
        </w:rPr>
        <w:t>The Economic Journal</w:t>
      </w:r>
      <w:r w:rsidRPr="00FA4BAA">
        <w:rPr>
          <w:szCs w:val="20"/>
        </w:rPr>
        <w:t xml:space="preserve"> 124: 954-976. </w:t>
      </w:r>
    </w:p>
    <w:p w14:paraId="6494DDE2" w14:textId="31218047" w:rsidR="00C52E0D" w:rsidRPr="00FA4BAA" w:rsidRDefault="005C4AC7" w:rsidP="00D40905">
      <w:pPr>
        <w:pStyle w:val="References"/>
      </w:pPr>
      <w:r w:rsidRPr="00FA4BAA">
        <w:t>Dimara, Efthalia, and Dimitris Skuras. 2003. “</w:t>
      </w:r>
      <w:r w:rsidR="00072D7A" w:rsidRPr="00FA4BAA">
        <w:t>Adoption of Agricultural I</w:t>
      </w:r>
      <w:r w:rsidRPr="00FA4BAA">
        <w:t>nnovations as a</w:t>
      </w:r>
      <w:r w:rsidR="00072D7A" w:rsidRPr="00FA4BAA">
        <w:t xml:space="preserve"> T</w:t>
      </w:r>
      <w:r w:rsidRPr="00FA4BAA">
        <w:t>wo</w:t>
      </w:r>
      <w:r w:rsidRPr="00FA4BAA">
        <w:rPr>
          <w:rFonts w:ascii="American Typewriter" w:hAnsi="American Typewriter" w:cs="American Typewriter"/>
        </w:rPr>
        <w:t>‐</w:t>
      </w:r>
      <w:r w:rsidR="00072D7A" w:rsidRPr="00FA4BAA">
        <w:t>S</w:t>
      </w:r>
      <w:r w:rsidRPr="00FA4BAA">
        <w:t>tage</w:t>
      </w:r>
      <w:r w:rsidR="00072D7A" w:rsidRPr="00FA4BAA">
        <w:t xml:space="preserve"> Partial Observability P</w:t>
      </w:r>
      <w:r w:rsidRPr="00FA4BAA">
        <w:t xml:space="preserve">rocess.” </w:t>
      </w:r>
      <w:r w:rsidRPr="00FA4BAA">
        <w:rPr>
          <w:i/>
        </w:rPr>
        <w:t>Agricultural Economics</w:t>
      </w:r>
      <w:r w:rsidRPr="00FA4BAA">
        <w:t xml:space="preserve"> 28(3): 187-196.</w:t>
      </w:r>
    </w:p>
    <w:p w14:paraId="5E38DE10" w14:textId="34FC1035" w:rsidR="00DA1F8F" w:rsidRPr="00FA4BAA" w:rsidRDefault="00C52E0D" w:rsidP="00D40905">
      <w:pPr>
        <w:pStyle w:val="References"/>
        <w:rPr>
          <w:szCs w:val="20"/>
        </w:rPr>
      </w:pPr>
      <w:r w:rsidRPr="00FA4BAA">
        <w:rPr>
          <w:szCs w:val="20"/>
        </w:rPr>
        <w:t xml:space="preserve">Feinstein, Jonathan S. 1990. “Detection Controlled Estimation.” </w:t>
      </w:r>
      <w:r w:rsidRPr="00FA4BAA">
        <w:rPr>
          <w:i/>
          <w:szCs w:val="20"/>
        </w:rPr>
        <w:t>Journal of Law and Economics</w:t>
      </w:r>
      <w:r w:rsidR="006C5E30" w:rsidRPr="00FA4BAA">
        <w:rPr>
          <w:szCs w:val="20"/>
        </w:rPr>
        <w:t xml:space="preserve"> </w:t>
      </w:r>
      <w:r w:rsidRPr="00FA4BAA">
        <w:rPr>
          <w:szCs w:val="20"/>
        </w:rPr>
        <w:t>33:233-276.</w:t>
      </w:r>
    </w:p>
    <w:p w14:paraId="4EABD309" w14:textId="60DD9EC9" w:rsidR="00B54A3A" w:rsidRPr="00FA4BAA" w:rsidRDefault="00DA1F8F" w:rsidP="00D40905">
      <w:pPr>
        <w:pStyle w:val="References"/>
      </w:pPr>
      <w:r w:rsidRPr="00FA4BAA">
        <w:t xml:space="preserve">Gelman, Andrew, Aleks Jakulin, Maria Grazia Pittau, and Yu-Sung Su. </w:t>
      </w:r>
      <w:r w:rsidR="001B5430" w:rsidRPr="00FA4BAA">
        <w:t xml:space="preserve">2008. </w:t>
      </w:r>
      <w:r w:rsidRPr="00FA4BAA">
        <w:t xml:space="preserve">“A Weakly Informative Default Prior Distribution for Logistic and Other Regression Models.” </w:t>
      </w:r>
      <w:r w:rsidRPr="00FA4BAA">
        <w:rPr>
          <w:i/>
        </w:rPr>
        <w:t>The Annals of Applied Statistics</w:t>
      </w:r>
      <w:r w:rsidRPr="00FA4BAA">
        <w:t xml:space="preserve"> 2:1360-1383.</w:t>
      </w:r>
    </w:p>
    <w:p w14:paraId="14A3100F" w14:textId="5570BBB3" w:rsidR="00B54A3A" w:rsidRPr="00FA4BAA" w:rsidRDefault="00B54A3A" w:rsidP="00D40905">
      <w:pPr>
        <w:pStyle w:val="References"/>
      </w:pPr>
      <w:r w:rsidRPr="00FA4BAA">
        <w:t xml:space="preserve">Heywood, John S., and Madhu S. Mohanty. “Race and Employment in the Federal Sector.” </w:t>
      </w:r>
      <w:r w:rsidRPr="00FA4BAA">
        <w:rPr>
          <w:i/>
        </w:rPr>
        <w:t>Economics Letters</w:t>
      </w:r>
      <w:r w:rsidRPr="00FA4BAA">
        <w:t xml:space="preserve"> 33: 179-183.</w:t>
      </w:r>
    </w:p>
    <w:p w14:paraId="39FCB2A9" w14:textId="66A23791" w:rsidR="0041562E" w:rsidRPr="00FA4BAA" w:rsidRDefault="009D2B14" w:rsidP="00D40905">
      <w:pPr>
        <w:pStyle w:val="References"/>
        <w:rPr>
          <w:szCs w:val="20"/>
        </w:rPr>
      </w:pPr>
      <w:r w:rsidRPr="00FA4BAA">
        <w:rPr>
          <w:szCs w:val="20"/>
        </w:rPr>
        <w:t xml:space="preserve">Knight, Malcolm, and Julio A. Santaella. 1997. “Economic </w:t>
      </w:r>
      <w:r w:rsidR="00432CEC" w:rsidRPr="00FA4BAA">
        <w:rPr>
          <w:szCs w:val="20"/>
        </w:rPr>
        <w:t>D</w:t>
      </w:r>
      <w:r w:rsidRPr="00FA4BAA">
        <w:rPr>
          <w:szCs w:val="20"/>
        </w:rPr>
        <w:t xml:space="preserve">eterminants of IMF </w:t>
      </w:r>
      <w:r w:rsidR="00432CEC" w:rsidRPr="00FA4BAA">
        <w:rPr>
          <w:szCs w:val="20"/>
        </w:rPr>
        <w:t>F</w:t>
      </w:r>
      <w:r w:rsidRPr="00FA4BAA">
        <w:rPr>
          <w:szCs w:val="20"/>
        </w:rPr>
        <w:t xml:space="preserve">inancial </w:t>
      </w:r>
      <w:r w:rsidR="00432CEC" w:rsidRPr="00FA4BAA">
        <w:rPr>
          <w:szCs w:val="20"/>
        </w:rPr>
        <w:t>A</w:t>
      </w:r>
      <w:r w:rsidRPr="00FA4BAA">
        <w:rPr>
          <w:szCs w:val="20"/>
        </w:rPr>
        <w:t xml:space="preserve">rrangements.” </w:t>
      </w:r>
      <w:r w:rsidRPr="00FA4BAA">
        <w:rPr>
          <w:i/>
          <w:szCs w:val="20"/>
        </w:rPr>
        <w:t>Journal of Development Economics</w:t>
      </w:r>
      <w:r w:rsidRPr="00FA4BAA">
        <w:rPr>
          <w:szCs w:val="20"/>
        </w:rPr>
        <w:t xml:space="preserve"> 54: 405-436.</w:t>
      </w:r>
    </w:p>
    <w:p w14:paraId="765D2470" w14:textId="462D5DB5" w:rsidR="0041562E" w:rsidRPr="00FA4BAA" w:rsidRDefault="00AC7478" w:rsidP="00D40905">
      <w:pPr>
        <w:pStyle w:val="References"/>
      </w:pPr>
      <w:r w:rsidRPr="00FA4BAA">
        <w:t xml:space="preserve">Logan, John Allen. 1996. “Opportunity and </w:t>
      </w:r>
      <w:r w:rsidR="00432CEC" w:rsidRPr="00FA4BAA">
        <w:t>C</w:t>
      </w:r>
      <w:r w:rsidRPr="00FA4BAA">
        <w:t xml:space="preserve">hoice in </w:t>
      </w:r>
      <w:r w:rsidR="00432CEC" w:rsidRPr="00FA4BAA">
        <w:t>S</w:t>
      </w:r>
      <w:r w:rsidRPr="00FA4BAA">
        <w:t xml:space="preserve">ocially </w:t>
      </w:r>
      <w:r w:rsidR="00432CEC" w:rsidRPr="00FA4BAA">
        <w:t>S</w:t>
      </w:r>
      <w:r w:rsidRPr="00FA4BAA">
        <w:t xml:space="preserve">tructured </w:t>
      </w:r>
      <w:r w:rsidR="00432CEC" w:rsidRPr="00FA4BAA">
        <w:t>L</w:t>
      </w:r>
      <w:r w:rsidRPr="00FA4BAA">
        <w:t xml:space="preserve">abor </w:t>
      </w:r>
      <w:r w:rsidR="00432CEC" w:rsidRPr="00FA4BAA">
        <w:t>M</w:t>
      </w:r>
      <w:r w:rsidRPr="00FA4BAA">
        <w:t xml:space="preserve">arkets.” </w:t>
      </w:r>
      <w:r w:rsidRPr="00FA4BAA">
        <w:rPr>
          <w:i/>
        </w:rPr>
        <w:t>American Journal of Sociology</w:t>
      </w:r>
      <w:r w:rsidRPr="00FA4BAA">
        <w:t xml:space="preserve"> 102:114-160.</w:t>
      </w:r>
    </w:p>
    <w:p w14:paraId="55B2AA38" w14:textId="0119E2BD" w:rsidR="00697AE1" w:rsidRPr="00FA4BAA" w:rsidRDefault="00697AE1" w:rsidP="00D40905">
      <w:pPr>
        <w:pStyle w:val="References"/>
        <w:rPr>
          <w:szCs w:val="20"/>
        </w:rPr>
      </w:pPr>
      <w:r w:rsidRPr="00FA4BAA">
        <w:rPr>
          <w:szCs w:val="20"/>
        </w:rPr>
        <w:t xml:space="preserve">Sekhon, Jasjeet S., and Walter R. Mebane. 1998. “Genetic Optimization Using Derivatives.” </w:t>
      </w:r>
      <w:r w:rsidRPr="00FA4BAA">
        <w:rPr>
          <w:i/>
          <w:iCs/>
          <w:szCs w:val="20"/>
        </w:rPr>
        <w:t>Political Analysis</w:t>
      </w:r>
      <w:r w:rsidRPr="00FA4BAA">
        <w:rPr>
          <w:szCs w:val="20"/>
        </w:rPr>
        <w:t xml:space="preserve"> 7(1): 187-210.</w:t>
      </w:r>
    </w:p>
    <w:p w14:paraId="42E51D75" w14:textId="0DDBD956" w:rsidR="00D849FA" w:rsidRPr="00FA4BAA" w:rsidRDefault="00174867" w:rsidP="00D40905">
      <w:pPr>
        <w:pStyle w:val="References"/>
      </w:pPr>
      <w:r w:rsidRPr="00FA4BAA">
        <w:t xml:space="preserve">Mebane Jr, Walter R., and Jasjeet S. Sekhon. 2011. “Genetic Optimization Using Derivatives: The rgenoud Package for R.” </w:t>
      </w:r>
      <w:r w:rsidRPr="00FA4BAA">
        <w:rPr>
          <w:i/>
        </w:rPr>
        <w:t>Journal of Statistical Software</w:t>
      </w:r>
      <w:r w:rsidRPr="00FA4BAA">
        <w:t xml:space="preserve"> 42: 1-26.</w:t>
      </w:r>
    </w:p>
    <w:p w14:paraId="268C6E34" w14:textId="43A0E0C6" w:rsidR="00072D7A" w:rsidRPr="00FA4BAA" w:rsidRDefault="00D849FA" w:rsidP="00D40905">
      <w:pPr>
        <w:pStyle w:val="References"/>
      </w:pPr>
      <w:r w:rsidRPr="00FA4BAA">
        <w:t xml:space="preserve">Meng, Chun-Lo, and Peter Schmidt. 1985. “On the Cost of Partial Observability in the Bivariate Probit Model." </w:t>
      </w:r>
      <w:r w:rsidRPr="00FA4BAA">
        <w:rPr>
          <w:i/>
        </w:rPr>
        <w:t>International Economic Review</w:t>
      </w:r>
      <w:r w:rsidRPr="00FA4BAA">
        <w:t xml:space="preserve"> 26:71-85.</w:t>
      </w:r>
    </w:p>
    <w:p w14:paraId="3E570AF1" w14:textId="605F5085" w:rsidR="0041562E" w:rsidRPr="00FA4BAA" w:rsidRDefault="00072D7A" w:rsidP="00D40905">
      <w:pPr>
        <w:pStyle w:val="References"/>
      </w:pPr>
      <w:r w:rsidRPr="00FA4BAA">
        <w:t xml:space="preserve">Mohanty, Madhu S. 2002 “A Bivariate Probit Approach to the Determination of Employment: A Study of Teen Employment Differentials in Los Angeles County.” </w:t>
      </w:r>
      <w:r w:rsidRPr="00FA4BAA">
        <w:rPr>
          <w:i/>
        </w:rPr>
        <w:t>Applied Economics</w:t>
      </w:r>
      <w:r w:rsidRPr="00FA4BAA">
        <w:t xml:space="preserve"> 34:143-156.</w:t>
      </w:r>
    </w:p>
    <w:p w14:paraId="3D6D58E5" w14:textId="06009BA2" w:rsidR="0041562E" w:rsidRPr="00FA4BAA" w:rsidRDefault="00A831F5" w:rsidP="00D40905">
      <w:pPr>
        <w:pStyle w:val="References"/>
      </w:pPr>
      <w:r w:rsidRPr="00FA4BAA">
        <w:t xml:space="preserve">Poirier, Dale J. 1980. “Partial Observability in Bivariate Probit Models.” </w:t>
      </w:r>
      <w:r w:rsidRPr="00FA4BAA">
        <w:rPr>
          <w:i/>
        </w:rPr>
        <w:t xml:space="preserve">Journal of Econometrics </w:t>
      </w:r>
      <w:r w:rsidRPr="00FA4BAA">
        <w:t>12:209-217.</w:t>
      </w:r>
    </w:p>
    <w:p w14:paraId="5A4F7D5F" w14:textId="7C5FE5D2" w:rsidR="0041562E" w:rsidRPr="00FA4BAA" w:rsidRDefault="00A831F5" w:rsidP="00D40905">
      <w:pPr>
        <w:pStyle w:val="References"/>
      </w:pPr>
      <w:r w:rsidRPr="00FA4BAA">
        <w:t xml:space="preserve">Przeworski, Adam, and James Raymond Vreeland. 2000. “The Effect of IMF Programs on Economic Growth.” </w:t>
      </w:r>
      <w:r w:rsidRPr="00FA4BAA">
        <w:rPr>
          <w:i/>
        </w:rPr>
        <w:t>Journal of Development Economics</w:t>
      </w:r>
      <w:r w:rsidRPr="00FA4BAA">
        <w:t xml:space="preserve"> 62:385-421.</w:t>
      </w:r>
    </w:p>
    <w:p w14:paraId="1ED36261" w14:textId="21DB7D3A" w:rsidR="00BB7599" w:rsidRPr="00FA4BAA" w:rsidRDefault="00A831F5" w:rsidP="00D40905">
      <w:pPr>
        <w:pStyle w:val="References"/>
      </w:pPr>
      <w:r w:rsidRPr="00FA4BAA">
        <w:t xml:space="preserve">Przeworski, Adam, and James Raymond Vreeland. 2002. “A Statistical Model of Bilateral Cooperation.” </w:t>
      </w:r>
      <w:r w:rsidRPr="00FA4BAA">
        <w:rPr>
          <w:i/>
        </w:rPr>
        <w:t>Political Analysis</w:t>
      </w:r>
      <w:r w:rsidRPr="00FA4BAA">
        <w:t xml:space="preserve"> 10:101-112.</w:t>
      </w:r>
    </w:p>
    <w:p w14:paraId="6C4EDDF6" w14:textId="3FE07B00" w:rsidR="0041562E" w:rsidRPr="00FA4BAA" w:rsidRDefault="00BB7599" w:rsidP="00D40905">
      <w:pPr>
        <w:pStyle w:val="References"/>
      </w:pPr>
      <w:r w:rsidRPr="00FA4BAA">
        <w:t xml:space="preserve">Stafford, Sarah L. 2002. “The Effect of Punishment on Firm Compliance with Hazardous Waste Regulations.” </w:t>
      </w:r>
      <w:r w:rsidRPr="00FA4BAA">
        <w:rPr>
          <w:i/>
        </w:rPr>
        <w:t>Journal of Environmental Economics and Management</w:t>
      </w:r>
      <w:r w:rsidR="009B76DB">
        <w:t xml:space="preserve"> 44: 290-308.</w:t>
      </w:r>
    </w:p>
    <w:p w14:paraId="73F340E8" w14:textId="5DAC19DD" w:rsidR="0064647D" w:rsidRPr="00FA4BAA" w:rsidRDefault="00A831F5" w:rsidP="00D40905">
      <w:pPr>
        <w:pStyle w:val="References"/>
      </w:pPr>
      <w:r w:rsidRPr="00FA4BAA">
        <w:t xml:space="preserve">Stone, Randall W. 2008. “The Scope of IMF Conditionality.” </w:t>
      </w:r>
      <w:r w:rsidRPr="00FA4BAA">
        <w:rPr>
          <w:i/>
        </w:rPr>
        <w:t>International Organization</w:t>
      </w:r>
      <w:r w:rsidRPr="00FA4BAA">
        <w:t xml:space="preserve"> 62:589-620.</w:t>
      </w:r>
    </w:p>
    <w:p w14:paraId="07877335" w14:textId="6CCF097E" w:rsidR="0041562E" w:rsidRPr="00FA4BAA" w:rsidRDefault="0064647D" w:rsidP="00D40905">
      <w:pPr>
        <w:pStyle w:val="References"/>
      </w:pPr>
      <w:r w:rsidRPr="00FA4BAA">
        <w:t xml:space="preserve">Tukey, John W. 1986. “Sunset Salvo.” </w:t>
      </w:r>
      <w:r w:rsidRPr="00FA4BAA">
        <w:rPr>
          <w:i/>
        </w:rPr>
        <w:t>The American Statistician</w:t>
      </w:r>
      <w:r w:rsidRPr="00FA4BAA">
        <w:t xml:space="preserve"> 40:72-76.</w:t>
      </w:r>
    </w:p>
    <w:p w14:paraId="722C1449" w14:textId="2BD3862C" w:rsidR="00AC7478" w:rsidRPr="00FA4BAA" w:rsidRDefault="00A831F5" w:rsidP="00D40905">
      <w:pPr>
        <w:pStyle w:val="References"/>
      </w:pPr>
      <w:r w:rsidRPr="00FA4BAA">
        <w:t xml:space="preserve">Vreeland, James Raymond. 2003. </w:t>
      </w:r>
      <w:r w:rsidRPr="00FA4BAA">
        <w:rPr>
          <w:i/>
        </w:rPr>
        <w:t>The IMF and Economic Development</w:t>
      </w:r>
      <w:r w:rsidRPr="00FA4BAA">
        <w:t>. Cambridge, UK: Cambridge University Press.</w:t>
      </w:r>
    </w:p>
    <w:p w14:paraId="36031D95" w14:textId="7D7C7CFA" w:rsidR="0041562E" w:rsidRPr="00FA4BAA" w:rsidRDefault="00AC7478" w:rsidP="00D40905">
      <w:pPr>
        <w:pStyle w:val="References"/>
      </w:pPr>
      <w:r w:rsidRPr="00FA4BAA">
        <w:lastRenderedPageBreak/>
        <w:t xml:space="preserve">Wang, Tracy Yue. 2013. “Corporate Securities Fraud: Insights from a New Empirical Framework.” </w:t>
      </w:r>
      <w:r w:rsidRPr="00FA4BAA">
        <w:rPr>
          <w:i/>
        </w:rPr>
        <w:t>Journal of Law, Economics, and Organization</w:t>
      </w:r>
      <w:r w:rsidRPr="00FA4BAA">
        <w:t xml:space="preserve"> 29:535-568.</w:t>
      </w:r>
    </w:p>
    <w:p w14:paraId="3092B086" w14:textId="25A27E8A" w:rsidR="0041562E" w:rsidRPr="00FA4BAA" w:rsidRDefault="00A831F5" w:rsidP="00D40905">
      <w:pPr>
        <w:pStyle w:val="References"/>
      </w:pPr>
      <w:r w:rsidRPr="00FA4BAA">
        <w:t xml:space="preserve">Xiang, Jun. 2010. “Relevance as a Latent Variable in Dyadic Analysis of Conflict.” </w:t>
      </w:r>
      <w:r w:rsidR="001466F8" w:rsidRPr="00FA4BAA">
        <w:rPr>
          <w:i/>
        </w:rPr>
        <w:t>Jo</w:t>
      </w:r>
      <w:r w:rsidRPr="00FA4BAA">
        <w:rPr>
          <w:i/>
        </w:rPr>
        <w:t xml:space="preserve">urnal of Politics </w:t>
      </w:r>
      <w:r w:rsidRPr="00FA4BAA">
        <w:t>72:484-498.</w:t>
      </w:r>
    </w:p>
    <w:p w14:paraId="04182B76" w14:textId="77777777" w:rsidR="0064647D" w:rsidRPr="00FA4BAA" w:rsidRDefault="0064647D" w:rsidP="003E267A">
      <w:pPr>
        <w:rPr>
          <w:sz w:val="20"/>
          <w:szCs w:val="20"/>
        </w:rPr>
        <w:sectPr w:rsidR="0064647D" w:rsidRPr="00FA4BAA" w:rsidSect="00952DC0">
          <w:footerReference w:type="default" r:id="rId9"/>
          <w:pgSz w:w="12240" w:h="15840"/>
          <w:pgMar w:top="1440" w:right="1440" w:bottom="1440" w:left="1440" w:header="720" w:footer="720" w:gutter="0"/>
          <w:cols w:space="720"/>
        </w:sectPr>
      </w:pPr>
      <w:bookmarkStart w:id="8" w:name="h.7vxsubpjp5w5" w:colFirst="0" w:colLast="0"/>
      <w:bookmarkEnd w:id="8"/>
    </w:p>
    <w:p w14:paraId="212C0DD3" w14:textId="77777777" w:rsidR="00C1225E" w:rsidRPr="00141CFA" w:rsidRDefault="00C1225E" w:rsidP="003E267A">
      <w:pPr>
        <w:pStyle w:val="Normal1"/>
        <w:keepNext/>
        <w:keepLines/>
        <w:spacing w:before="120"/>
        <w:ind w:firstLine="0"/>
        <w:contextualSpacing w:val="0"/>
        <w:jc w:val="center"/>
        <w:rPr>
          <w:rFonts w:asciiTheme="minorHAnsi" w:hAnsiTheme="minorHAnsi"/>
          <w:color w:val="auto"/>
        </w:rPr>
      </w:pPr>
      <w:r w:rsidRPr="00141CFA">
        <w:rPr>
          <w:rFonts w:asciiTheme="minorHAnsi" w:hAnsiTheme="minorHAnsi"/>
          <w:noProof/>
          <w:color w:val="auto"/>
        </w:rPr>
        <w:lastRenderedPageBreak/>
        <w:drawing>
          <wp:anchor distT="0" distB="0" distL="114300" distR="114300" simplePos="0" relativeHeight="251659264" behindDoc="0" locked="0" layoutInCell="1" allowOverlap="1" wp14:anchorId="31E93864" wp14:editId="6F0784A0">
            <wp:simplePos x="0" y="0"/>
            <wp:positionH relativeFrom="margi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0">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088CD254" w:rsidR="00C1225E" w:rsidRDefault="00C1225E" w:rsidP="00E11B1D">
      <w:pPr>
        <w:pStyle w:val="Caption"/>
        <w:rPr>
          <w:b/>
        </w:rPr>
      </w:pPr>
      <w:bookmarkStart w:id="9" w:name="_Ref263843309"/>
      <w:r w:rsidRPr="00141CFA">
        <w:t xml:space="preserve">Figure </w:t>
      </w:r>
      <w:fldSimple w:instr=" SEQ Figure \* ARABIC ">
        <w:r w:rsidR="00F71D63">
          <w:rPr>
            <w:noProof/>
          </w:rPr>
          <w:t>1</w:t>
        </w:r>
      </w:fldSimple>
      <w:bookmarkEnd w:id="9"/>
      <w:r w:rsidRPr="00141CFA">
        <w:t xml:space="preserve">: </w:t>
      </w:r>
      <w:r w:rsidR="009B76DB">
        <w:t xml:space="preserve">Summarizing </w:t>
      </w:r>
      <w:r w:rsidRPr="00141CFA">
        <w:t xml:space="preserve">the ability of the full and partial observability models to estimate the occurrence probability of the event of interest when the explanatory variable is set to a central value </w:t>
      </w:r>
      <w:r w:rsidR="006A789E" w:rsidRPr="00141CFA">
        <w:t>and</w:t>
      </w:r>
      <w:r w:rsidRPr="00141CFA">
        <w:t xml:space="preserve"> the functional form is slightly misspecified.</w:t>
      </w:r>
    </w:p>
    <w:p w14:paraId="1D6D9604" w14:textId="77777777" w:rsidR="00EB0EFA" w:rsidRDefault="00EB0EFA" w:rsidP="00D40905"/>
    <w:p w14:paraId="4AD2AD0E" w14:textId="77777777" w:rsidR="00D40905" w:rsidRDefault="00D40905" w:rsidP="00D40905"/>
    <w:p w14:paraId="0F45D2D2" w14:textId="77777777" w:rsidR="00D40905" w:rsidRDefault="00D40905" w:rsidP="00D40905"/>
    <w:p w14:paraId="04B588E0" w14:textId="77777777" w:rsidR="00D40905" w:rsidRPr="00141CFA" w:rsidRDefault="00D40905" w:rsidP="00D40905"/>
    <w:p w14:paraId="55020614"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drawing>
          <wp:anchor distT="0" distB="0" distL="114300" distR="114300" simplePos="0" relativeHeight="251665408" behindDoc="0" locked="0" layoutInCell="1" allowOverlap="1" wp14:anchorId="3AD0CBA8" wp14:editId="59EB2038">
            <wp:simplePos x="0" y="0"/>
            <wp:positionH relativeFrom="margin">
              <wp:align>center</wp:align>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BC44836" w:rsidR="00C1225E" w:rsidRPr="00141CFA" w:rsidRDefault="00C1225E" w:rsidP="00E11B1D">
      <w:pPr>
        <w:pStyle w:val="Caption"/>
      </w:pPr>
      <w:bookmarkStart w:id="10" w:name="_Ref263843527"/>
      <w:r w:rsidRPr="00141CFA">
        <w:t xml:space="preserve">Figure </w:t>
      </w:r>
      <w:fldSimple w:instr=" SEQ Figure \* ARABIC ">
        <w:r w:rsidR="00F71D63">
          <w:rPr>
            <w:noProof/>
          </w:rPr>
          <w:t>2</w:t>
        </w:r>
      </w:fldSimple>
      <w:bookmarkEnd w:id="10"/>
      <w:r w:rsidR="00C11715">
        <w:t xml:space="preserve">: </w:t>
      </w:r>
      <w:r w:rsidR="009B76DB">
        <w:t xml:space="preserve">Summarizing </w:t>
      </w:r>
      <w:r w:rsidRPr="00141CFA">
        <w:t xml:space="preserve">the ability of the full and partial observability models to estimate how the occurrence probability of the event of interest changes as the key explanatory variable moves from a low value to a high value when the </w:t>
      </w:r>
      <w:r w:rsidR="00C11715">
        <w:t>functional form is slightly misspecified</w:t>
      </w:r>
      <w:r w:rsidRPr="00141CFA">
        <w:t>.</w:t>
      </w:r>
      <w:r w:rsidRPr="00141CFA">
        <w:rPr>
          <w:b/>
        </w:rPr>
        <w:br w:type="page"/>
      </w:r>
    </w:p>
    <w:p w14:paraId="027A780F"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lastRenderedPageBreak/>
        <w:drawing>
          <wp:inline distT="0" distB="0" distL="0" distR="0" wp14:anchorId="3972F9EA" wp14:editId="31E248E7">
            <wp:extent cx="4922520" cy="2112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2">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inline>
        </w:drawing>
      </w:r>
    </w:p>
    <w:p w14:paraId="2F5C9830" w14:textId="56C38C9D" w:rsidR="00C1225E" w:rsidRPr="00141CFA" w:rsidRDefault="00C1225E" w:rsidP="00E11B1D">
      <w:pPr>
        <w:pStyle w:val="Caption"/>
      </w:pPr>
      <w:bookmarkStart w:id="11" w:name="_Ref263843562"/>
      <w:r w:rsidRPr="00141CFA">
        <w:t xml:space="preserve">Figure </w:t>
      </w:r>
      <w:fldSimple w:instr=" SEQ Figure \* ARABIC ">
        <w:r w:rsidR="00F71D63">
          <w:rPr>
            <w:noProof/>
          </w:rPr>
          <w:t>3</w:t>
        </w:r>
      </w:fldSimple>
      <w:bookmarkEnd w:id="11"/>
      <w:r w:rsidR="008D3EFE" w:rsidRPr="00141CFA">
        <w:rPr>
          <w:noProof/>
        </w:rPr>
        <w:t>:</w:t>
      </w:r>
      <w:r w:rsidRPr="00141CFA">
        <w:t xml:space="preserve"> </w:t>
      </w:r>
      <w:r w:rsidR="00C11715">
        <w:t>Comparing</w:t>
      </w:r>
      <w:r w:rsidRPr="00141CFA">
        <w:t xml:space="preserve"> the relationship between the true probability and the estimated probability of the event of interest</w:t>
      </w:r>
      <w:r w:rsidR="00C11715">
        <w:t xml:space="preserve"> for the full and partial observability models when the model is slightly misspecified.</w:t>
      </w:r>
    </w:p>
    <w:p w14:paraId="0E4740E2" w14:textId="1020E575" w:rsidR="00C1225E" w:rsidRDefault="00C1225E" w:rsidP="00D40905">
      <w:pPr>
        <w:rPr>
          <w:lang w:eastAsia="zh-CN" w:bidi="hi-IN"/>
        </w:rPr>
      </w:pPr>
    </w:p>
    <w:p w14:paraId="4350B0E6" w14:textId="77777777" w:rsidR="00D40905" w:rsidRDefault="00D40905" w:rsidP="00D40905">
      <w:pPr>
        <w:rPr>
          <w:lang w:eastAsia="zh-CN" w:bidi="hi-IN"/>
        </w:rPr>
      </w:pPr>
    </w:p>
    <w:p w14:paraId="3B498C22" w14:textId="77777777" w:rsidR="00D40905" w:rsidRDefault="00D40905" w:rsidP="00D40905">
      <w:pPr>
        <w:rPr>
          <w:lang w:eastAsia="zh-CN" w:bidi="hi-IN"/>
        </w:rPr>
      </w:pPr>
    </w:p>
    <w:p w14:paraId="0F91D6D0" w14:textId="77777777" w:rsidR="00D40905" w:rsidRPr="00141CFA" w:rsidRDefault="00D40905" w:rsidP="003E267A">
      <w:pPr>
        <w:rPr>
          <w:rFonts w:eastAsia="Arial Unicode MS" w:cs="Arial Unicode MS"/>
          <w:sz w:val="20"/>
          <w:lang w:eastAsia="zh-CN" w:bidi="hi-IN"/>
        </w:rPr>
      </w:pPr>
    </w:p>
    <w:p w14:paraId="5E90E79B"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drawing>
          <wp:inline distT="0" distB="0" distL="0" distR="0" wp14:anchorId="5B95C2EE" wp14:editId="732EBEC5">
            <wp:extent cx="4928870" cy="2112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3">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inline>
        </w:drawing>
      </w:r>
    </w:p>
    <w:p w14:paraId="7FBAA542" w14:textId="3CC44DC1" w:rsidR="00BB4A14" w:rsidRPr="00141CFA" w:rsidRDefault="00C1225E" w:rsidP="00C77133">
      <w:pPr>
        <w:pStyle w:val="Caption"/>
      </w:pPr>
      <w:bookmarkStart w:id="12" w:name="_Ref263843608"/>
      <w:r w:rsidRPr="00141CFA">
        <w:t xml:space="preserve">Figure </w:t>
      </w:r>
      <w:fldSimple w:instr=" SEQ Figure \* ARABIC ">
        <w:r w:rsidR="00F71D63">
          <w:rPr>
            <w:noProof/>
          </w:rPr>
          <w:t>4</w:t>
        </w:r>
      </w:fldSimple>
      <w:bookmarkEnd w:id="12"/>
      <w:r w:rsidRPr="00141CFA">
        <w:t xml:space="preserve">: </w:t>
      </w:r>
      <w:r w:rsidR="00C11715">
        <w:t xml:space="preserve">Comparing </w:t>
      </w:r>
      <w:r w:rsidRPr="00141CFA">
        <w:t>the relationship between the true effect and the estimated e</w:t>
      </w:r>
      <w:r w:rsidR="00C11715">
        <w:t>ffect on the event of interest for the full and partial observability models when the model is slightly misspecified</w:t>
      </w:r>
      <w:r w:rsidR="00C11715" w:rsidRPr="00141CFA">
        <w:t>.</w:t>
      </w:r>
      <w:r w:rsidR="00C11715">
        <w:t xml:space="preserve"> </w:t>
      </w:r>
      <w:r w:rsidRPr="00141CFA">
        <w:t>The solid 45 degree line is y = x and represents a one-to-one correspondence between the true value and the estimate. If a point falls on the line, then t</w:t>
      </w:r>
      <w:r w:rsidR="00C77133">
        <w:t>he estimate is exactly correct.</w:t>
      </w:r>
    </w:p>
    <w:sectPr w:rsidR="00BB4A14" w:rsidRPr="00141CFA" w:rsidSect="00DB41AF">
      <w:pgSz w:w="12240" w:h="15840"/>
      <w:pgMar w:top="1440" w:right="1440" w:bottom="1440" w:left="1440" w:header="720" w:footer="720" w:gutter="0"/>
      <w:cols w:space="720"/>
      <w:vAlign w:val="cen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60EF9" w14:textId="77777777" w:rsidR="00C25C23" w:rsidRDefault="00C25C23">
      <w:r>
        <w:separator/>
      </w:r>
    </w:p>
    <w:p w14:paraId="0F495E32" w14:textId="77777777" w:rsidR="00C25C23" w:rsidRDefault="00C25C23"/>
  </w:endnote>
  <w:endnote w:type="continuationSeparator" w:id="0">
    <w:p w14:paraId="3F432EEC" w14:textId="77777777" w:rsidR="00C25C23" w:rsidRDefault="00C25C23">
      <w:r>
        <w:continuationSeparator/>
      </w:r>
    </w:p>
    <w:p w14:paraId="0F6BDDFE" w14:textId="77777777" w:rsidR="00C25C23" w:rsidRDefault="00C25C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Gill Sans">
    <w:panose1 w:val="020B0502020104020203"/>
    <w:charset w:val="00"/>
    <w:family w:val="auto"/>
    <w:pitch w:val="variable"/>
    <w:sig w:usb0="80000267" w:usb1="00000000" w:usb2="00000000" w:usb3="00000000" w:csb0="000001F7" w:csb1="00000000"/>
  </w:font>
  <w:font w:name="Adobe Garamond Pro">
    <w:altName w:val="Times New Roman"/>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C25C23" w:rsidRDefault="00C25C23">
    <w:pPr>
      <w:pStyle w:val="Normal1"/>
      <w:tabs>
        <w:tab w:val="center" w:pos="4680"/>
        <w:tab w:val="right" w:pos="9360"/>
      </w:tabs>
      <w:spacing w:line="240" w:lineRule="auto"/>
      <w:contextualSpacing w:val="0"/>
      <w:jc w:val="center"/>
    </w:pPr>
    <w:r>
      <w:fldChar w:fldCharType="begin"/>
    </w:r>
    <w:r>
      <w:instrText>PAGE</w:instrText>
    </w:r>
    <w:r>
      <w:fldChar w:fldCharType="separate"/>
    </w:r>
    <w:r w:rsidR="00C3277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31873" w14:textId="77777777" w:rsidR="00C25C23" w:rsidRDefault="00C25C23">
      <w:r>
        <w:separator/>
      </w:r>
    </w:p>
    <w:p w14:paraId="626DDDE0" w14:textId="77777777" w:rsidR="00C25C23" w:rsidRDefault="00C25C23"/>
  </w:footnote>
  <w:footnote w:type="continuationSeparator" w:id="0">
    <w:p w14:paraId="276A6634" w14:textId="77777777" w:rsidR="00C25C23" w:rsidRDefault="00C25C23">
      <w:r>
        <w:continuationSeparator/>
      </w:r>
    </w:p>
    <w:p w14:paraId="37DFABB0" w14:textId="77777777" w:rsidR="00C25C23" w:rsidRDefault="00C25C23"/>
  </w:footnote>
  <w:footnote w:id="1">
    <w:p w14:paraId="447E5CFE" w14:textId="54366BA5" w:rsidR="00C25C23" w:rsidRPr="00141CFA" w:rsidRDefault="00C25C23" w:rsidP="009D7813">
      <w:pPr>
        <w:pStyle w:val="FootnoteText"/>
        <w:rPr>
          <w:rStyle w:val="Hyperlink"/>
          <w:szCs w:val="18"/>
        </w:rPr>
      </w:pPr>
      <w:r w:rsidRPr="00141CFA">
        <w:rPr>
          <w:rStyle w:val="FootnoteReference"/>
          <w:szCs w:val="18"/>
        </w:rPr>
        <w:t>*</w:t>
      </w:r>
      <w:r w:rsidRPr="00141CFA">
        <w:rPr>
          <w:szCs w:val="18"/>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141CFA">
          <w:rPr>
            <w:rStyle w:val="Hyperlink"/>
            <w:szCs w:val="18"/>
          </w:rPr>
          <w:t>github.com/carlislerainey/unreliable-inferences</w:t>
        </w:r>
      </w:hyperlink>
      <w:r w:rsidRPr="00141CFA">
        <w:rPr>
          <w:szCs w:val="18"/>
        </w:rPr>
        <w:t>.</w:t>
      </w:r>
    </w:p>
  </w:footnote>
  <w:footnote w:id="2">
    <w:p w14:paraId="55687A4B" w14:textId="77777777" w:rsidR="00C25C23" w:rsidRPr="00141CFA" w:rsidRDefault="00C25C23" w:rsidP="00BD2C02">
      <w:pPr>
        <w:pStyle w:val="FootnoteText"/>
        <w:rPr>
          <w:szCs w:val="18"/>
        </w:rPr>
      </w:pPr>
      <w:r w:rsidRPr="00141CFA">
        <w:rPr>
          <w:rStyle w:val="FootnoteReference"/>
          <w:rFonts w:eastAsia="Arial Unicode MS"/>
          <w:szCs w:val="18"/>
        </w:rPr>
        <w:t>‡</w:t>
      </w:r>
      <w:r w:rsidRPr="00141CFA">
        <w:rPr>
          <w:szCs w:val="18"/>
        </w:rPr>
        <w:t xml:space="preserve"> Carlisle Rainey is Assistant Professor of Political Science, University at Buffalo, SUNY, 520 Park Hall, Buffalo, NY 14260 (</w:t>
      </w:r>
      <w:hyperlink r:id="rId2" w:history="1">
        <w:r w:rsidRPr="00141CFA">
          <w:rPr>
            <w:rStyle w:val="Hyperlink"/>
            <w:szCs w:val="18"/>
          </w:rPr>
          <w:t>rcrainey@buffalo.edu</w:t>
        </w:r>
      </w:hyperlink>
      <w:r w:rsidRPr="00141CFA">
        <w:rPr>
          <w:szCs w:val="18"/>
        </w:rPr>
        <w:t>).</w:t>
      </w:r>
    </w:p>
  </w:footnote>
  <w:footnote w:id="3">
    <w:p w14:paraId="6A2B3CAA" w14:textId="592565C3" w:rsidR="00C25C23" w:rsidRPr="00141CFA" w:rsidRDefault="00C25C23" w:rsidP="00DB7CC7">
      <w:pPr>
        <w:pStyle w:val="FootnoteText"/>
        <w:rPr>
          <w:szCs w:val="18"/>
        </w:rPr>
      </w:pPr>
      <w:r w:rsidRPr="00141CFA">
        <w:rPr>
          <w:rStyle w:val="FootnoteReference"/>
          <w:rFonts w:eastAsia="Arial Unicode MS"/>
          <w:szCs w:val="18"/>
        </w:rPr>
        <w:t>†</w:t>
      </w:r>
      <w:r w:rsidRPr="00141CFA">
        <w:rPr>
          <w:szCs w:val="18"/>
        </w:rPr>
        <w:t xml:space="preserve"> Robert A. Jackson is Professor of Political Science, Florida State University, 531 Bellamy Building, Florida State University, Tallahassee, FL 32306 (</w:t>
      </w:r>
      <w:hyperlink r:id="rId3">
        <w:r w:rsidRPr="00141CFA">
          <w:rPr>
            <w:rStyle w:val="Hyperlink"/>
            <w:szCs w:val="18"/>
          </w:rPr>
          <w:t>rjackson@fsu.edu</w:t>
        </w:r>
      </w:hyperlink>
      <w:r w:rsidRPr="00141CFA">
        <w:rPr>
          <w:szCs w:val="18"/>
        </w:rPr>
        <w:t>).</w:t>
      </w:r>
    </w:p>
  </w:footnote>
  <w:footnote w:id="4">
    <w:p w14:paraId="42759116" w14:textId="1D004360" w:rsidR="00C25C23" w:rsidRDefault="00C25C23">
      <w:pPr>
        <w:pStyle w:val="FootnoteText"/>
      </w:pPr>
      <w:r>
        <w:rPr>
          <w:rStyle w:val="FootnoteReference"/>
        </w:rPr>
        <w:footnoteRef/>
      </w:r>
      <w:r>
        <w:t xml:space="preserve"> </w:t>
      </w:r>
      <w:r w:rsidRPr="00141CFA">
        <w:t>In some applications, researchers observe an event if either unobservable event occurs. In other cases, researchers only observe an event if both occur.</w:t>
      </w:r>
    </w:p>
  </w:footnote>
  <w:footnote w:id="5">
    <w:p w14:paraId="007FCBB6" w14:textId="77777777" w:rsidR="00C25C23" w:rsidRPr="004C77FF" w:rsidRDefault="00C25C23" w:rsidP="00FA4BAA">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log(</w:t>
      </w:r>
      <w:r w:rsidRPr="004C168F">
        <w:rPr>
          <w:i/>
          <w:sz w:val="20"/>
        </w:rPr>
        <w:t>x</w:t>
      </w:r>
      <w:r w:rsidRPr="004C168F">
        <w:rPr>
          <w:sz w:val="20"/>
        </w:rPr>
        <w:t xml:space="preserve">). </w:t>
      </w:r>
    </w:p>
  </w:footnote>
  <w:footnote w:id="6">
    <w:p w14:paraId="7CCEAF06" w14:textId="77777777" w:rsidR="00C25C23" w:rsidRPr="00141CFA" w:rsidRDefault="00C25C23"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For clarity, we imagine a situation in which one outcome is of interest and the other is largely nuisance. However, our ideas generalize to a situation in which the researcher’s interest extends to both outcomes.</w:t>
      </w:r>
    </w:p>
  </w:footnote>
  <w:footnote w:id="7">
    <w:p w14:paraId="201D7C15" w14:textId="5B447D89" w:rsidR="00C25C23" w:rsidRPr="00141CFA" w:rsidRDefault="00C25C23"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In fact, there is an exact mathematical relationship between the two. Specifically, assuming that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=1</m:t>
        </m:r>
      </m:oMath>
      <w:r w:rsidRPr="00141CFA">
        <w:rPr>
          <w:rFonts w:asciiTheme="minorHAnsi" w:hAnsiTheme="minorHAnsi"/>
          <w:sz w:val="18"/>
          <w:szCs w:val="18"/>
        </w:rPr>
        <w:t xml:space="preserve"> when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main</m:t>
            </m:r>
          </m:sub>
        </m:sSub>
        <m:r>
          <w:rPr>
            <w:rFonts w:ascii="Cambria Math" w:hAnsi="Cambria Math"/>
            <w:sz w:val="18"/>
            <w:szCs w:val="18"/>
          </w:rPr>
          <m:t>=1</m:t>
        </m:r>
      </m:oMath>
      <w:r w:rsidRPr="00141CFA">
        <w:rPr>
          <w:rFonts w:asciiTheme="minorHAnsi" w:hAnsiTheme="minorHAnsi"/>
          <w:sz w:val="18"/>
          <w:szCs w:val="18"/>
        </w:rPr>
        <w:t xml:space="preserve"> </w:t>
      </w:r>
      <w:r w:rsidRPr="00141CFA">
        <w:rPr>
          <w:rFonts w:asciiTheme="minorHAnsi" w:hAnsiTheme="minorHAnsi"/>
          <w:sz w:val="18"/>
          <w:szCs w:val="18"/>
          <w:u w:val="single"/>
        </w:rPr>
        <w:t>or</w:t>
      </w:r>
      <w:r w:rsidRPr="00141CFA">
        <w:rPr>
          <w:rFonts w:asciiTheme="minorHAnsi" w:hAnsiTheme="minorHAnsi"/>
          <w:sz w:val="18"/>
          <w:szCs w:val="18"/>
        </w:rPr>
        <w:t xml:space="preserve">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nuisance</m:t>
            </m:r>
          </m:sub>
        </m:sSub>
        <m:r>
          <w:rPr>
            <w:rFonts w:ascii="Cambria Math" w:hAnsi="Cambria Math"/>
            <w:sz w:val="18"/>
            <w:szCs w:val="18"/>
          </w:rPr>
          <m:t>=1</m:t>
        </m:r>
      </m:oMath>
      <w:r w:rsidRPr="00141CFA">
        <w:rPr>
          <w:rFonts w:asciiTheme="minorHAnsi" w:hAnsiTheme="minorHAnsi"/>
          <w:sz w:val="18"/>
          <w:szCs w:val="18"/>
        </w:rPr>
        <w:t xml:space="preserve"> is equivalent to modeling the probability that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=0</m:t>
        </m:r>
      </m:oMath>
      <w:r w:rsidRPr="00141CFA">
        <w:rPr>
          <w:rFonts w:asciiTheme="minorHAnsi" w:hAnsiTheme="minorHAnsi"/>
          <w:sz w:val="18"/>
          <w:szCs w:val="18"/>
        </w:rPr>
        <w:t xml:space="preserve"> when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main</m:t>
            </m:r>
          </m:sub>
        </m:sSub>
        <m:r>
          <w:rPr>
            <w:rFonts w:ascii="Cambria Math" w:hAnsi="Cambria Math"/>
            <w:sz w:val="18"/>
            <w:szCs w:val="18"/>
          </w:rPr>
          <m:t>=0</m:t>
        </m:r>
      </m:oMath>
      <w:r w:rsidRPr="00141CFA">
        <w:rPr>
          <w:rFonts w:asciiTheme="minorHAnsi" w:hAnsiTheme="minorHAnsi"/>
          <w:sz w:val="18"/>
          <w:szCs w:val="18"/>
        </w:rPr>
        <w:t xml:space="preserve"> </w:t>
      </w:r>
      <w:r w:rsidRPr="00141CFA">
        <w:rPr>
          <w:rFonts w:asciiTheme="minorHAnsi" w:hAnsiTheme="minorHAnsi"/>
          <w:sz w:val="18"/>
          <w:szCs w:val="18"/>
          <w:u w:val="single"/>
        </w:rPr>
        <w:t>and</w:t>
      </w:r>
      <w:r w:rsidRPr="00141CFA">
        <w:rPr>
          <w:rFonts w:asciiTheme="minorHAnsi" w:hAnsiTheme="minorHAnsi"/>
          <w:sz w:val="18"/>
          <w:szCs w:val="18"/>
        </w:rPr>
        <w:t xml:space="preserve">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nuisance</m:t>
            </m:r>
          </m:sub>
        </m:sSub>
        <m:r>
          <w:rPr>
            <w:rFonts w:ascii="Cambria Math" w:hAnsi="Cambria Math"/>
            <w:sz w:val="18"/>
            <w:szCs w:val="18"/>
          </w:rPr>
          <m:t>=0</m:t>
        </m:r>
      </m:oMath>
      <w:r w:rsidRPr="00141CFA">
        <w:rPr>
          <w:rFonts w:asciiTheme="minorHAnsi" w:hAnsiTheme="minorHAnsi"/>
          <w:sz w:val="18"/>
          <w:szCs w:val="18"/>
        </w:rPr>
        <w:t>.</w:t>
      </w:r>
    </w:p>
    <w:p w14:paraId="7BBEB222" w14:textId="77777777" w:rsidR="00C25C23" w:rsidRPr="00141CFA" w:rsidRDefault="00C25C23" w:rsidP="00272BFF">
      <w:pPr>
        <w:pStyle w:val="Normal1"/>
        <w:spacing w:line="240" w:lineRule="auto"/>
        <w:ind w:firstLine="0"/>
        <w:contextualSpacing w:val="0"/>
        <w:rPr>
          <w:rFonts w:asciiTheme="minorHAnsi" w:hAnsiTheme="minorHAnsi"/>
          <w:sz w:val="18"/>
          <w:szCs w:val="18"/>
        </w:rPr>
      </w:pPr>
    </w:p>
  </w:footnote>
  <w:footnote w:id="8">
    <w:p w14:paraId="262DF1B2" w14:textId="14F69A32" w:rsidR="00C25C23" w:rsidRPr="00141CFA" w:rsidRDefault="00C25C23"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Pr>
          <w:rFonts w:asciiTheme="minorHAnsi" w:hAnsiTheme="minorHAnsi"/>
          <w:sz w:val="18"/>
          <w:szCs w:val="18"/>
        </w:rPr>
        <w:t xml:space="preserve"> W</w:t>
      </w:r>
      <w:r w:rsidRPr="00141CFA">
        <w:rPr>
          <w:rFonts w:asciiTheme="minorHAnsi" w:hAnsiTheme="minorHAnsi"/>
          <w:sz w:val="18"/>
          <w:szCs w:val="18"/>
        </w:rPr>
        <w:t>e find that standard “hill-climbing” optimiza</w:t>
      </w:r>
      <w:r>
        <w:rPr>
          <w:rFonts w:asciiTheme="minorHAnsi" w:hAnsiTheme="minorHAnsi"/>
          <w:sz w:val="18"/>
          <w:szCs w:val="18"/>
        </w:rPr>
        <w:t>tion routines find local maxima—this present a separate, perhaps equally concerning problem to substantive applications.</w:t>
      </w:r>
      <w:r w:rsidRPr="00141CFA">
        <w:rPr>
          <w:rFonts w:asciiTheme="minorHAnsi" w:hAnsiTheme="minorHAnsi"/>
          <w:sz w:val="18"/>
          <w:szCs w:val="18"/>
        </w:rPr>
        <w:t xml:space="preserve"> To avoid this, we tried an algorithm sugges</w:t>
      </w:r>
      <w:r>
        <w:rPr>
          <w:rFonts w:asciiTheme="minorHAnsi" w:hAnsiTheme="minorHAnsi"/>
          <w:sz w:val="18"/>
          <w:szCs w:val="18"/>
        </w:rPr>
        <w:t>ted by Sekhon and Mebane (1998</w:t>
      </w:r>
      <w:r w:rsidRPr="00141CFA">
        <w:rPr>
          <w:rFonts w:asciiTheme="minorHAnsi" w:hAnsiTheme="minorHAnsi"/>
          <w:sz w:val="18"/>
          <w:szCs w:val="18"/>
        </w:rPr>
        <w:t>) that relies on a combination of genetic adaptation and hill-climbing to efficiently locate the maximum</w:t>
      </w:r>
      <w:r>
        <w:rPr>
          <w:rFonts w:asciiTheme="minorHAnsi" w:hAnsiTheme="minorHAnsi"/>
          <w:sz w:val="18"/>
          <w:szCs w:val="18"/>
        </w:rPr>
        <w:t xml:space="preserve"> (Mebane and Sekhon 2011)</w:t>
      </w:r>
      <w:r w:rsidRPr="00141CFA">
        <w:rPr>
          <w:rFonts w:asciiTheme="minorHAnsi" w:hAnsiTheme="minorHAnsi"/>
          <w:sz w:val="18"/>
          <w:szCs w:val="18"/>
        </w:rPr>
        <w:t>. This approach consistently located the global maximum in several trial examples, but only for a very large population (i.e., computationally prohibitive) of agents.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Gelman et al. (2008). In general, this prior tends to improve the inferences from the model.</w:t>
      </w:r>
    </w:p>
    <w:p w14:paraId="11396C9D" w14:textId="77777777" w:rsidR="00C25C23" w:rsidRPr="00141CFA" w:rsidRDefault="00C25C23" w:rsidP="00272BFF">
      <w:pPr>
        <w:pStyle w:val="Normal1"/>
        <w:spacing w:line="240" w:lineRule="auto"/>
        <w:ind w:firstLine="0"/>
        <w:contextualSpacing w:val="0"/>
        <w:rPr>
          <w:rFonts w:asciiTheme="minorHAnsi" w:hAnsiTheme="minorHAnsi"/>
          <w:sz w:val="18"/>
          <w:szCs w:val="18"/>
        </w:rPr>
      </w:pPr>
    </w:p>
  </w:footnote>
  <w:footnote w:id="9">
    <w:p w14:paraId="065CDBB5" w14:textId="6DEFF712" w:rsidR="00C25C23" w:rsidRPr="00141CFA" w:rsidRDefault="00C25C23"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Kendall’s tau is comparable to Pearson’s r, but is a rank-based statistic and thus more robust to data that do not come from a multivariate normal distribution.</w:t>
      </w:r>
    </w:p>
    <w:p w14:paraId="5DC4CB52" w14:textId="77777777" w:rsidR="00C25C23" w:rsidRPr="00141CFA" w:rsidRDefault="00C25C23" w:rsidP="00272BFF">
      <w:pPr>
        <w:pStyle w:val="Normal1"/>
        <w:spacing w:line="240" w:lineRule="auto"/>
        <w:ind w:firstLine="0"/>
        <w:contextualSpacing w:val="0"/>
        <w:rPr>
          <w:rFonts w:asciiTheme="minorHAnsi" w:hAnsiTheme="minorHAnsi"/>
          <w:sz w:val="18"/>
          <w:szCs w:val="18"/>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187494"/>
    <w:multiLevelType w:val="hybridMultilevel"/>
    <w:tmpl w:val="51CA4D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46F43D3E"/>
    <w:multiLevelType w:val="hybridMultilevel"/>
    <w:tmpl w:val="899A8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6F37927"/>
    <w:multiLevelType w:val="hybridMultilevel"/>
    <w:tmpl w:val="30B8527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EA128F5"/>
    <w:multiLevelType w:val="hybridMultilevel"/>
    <w:tmpl w:val="00ECAFF2"/>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0"/>
  </w:num>
  <w:num w:numId="2">
    <w:abstractNumId w:val="13"/>
  </w:num>
  <w:num w:numId="3">
    <w:abstractNumId w:val="0"/>
  </w:num>
  <w:num w:numId="4">
    <w:abstractNumId w:val="1"/>
  </w:num>
  <w:num w:numId="5">
    <w:abstractNumId w:val="2"/>
  </w:num>
  <w:num w:numId="6">
    <w:abstractNumId w:val="5"/>
  </w:num>
  <w:num w:numId="7">
    <w:abstractNumId w:val="21"/>
  </w:num>
  <w:num w:numId="8">
    <w:abstractNumId w:val="14"/>
  </w:num>
  <w:num w:numId="9">
    <w:abstractNumId w:val="6"/>
  </w:num>
  <w:num w:numId="10">
    <w:abstractNumId w:val="4"/>
  </w:num>
  <w:num w:numId="11">
    <w:abstractNumId w:val="25"/>
  </w:num>
  <w:num w:numId="12">
    <w:abstractNumId w:val="3"/>
  </w:num>
  <w:num w:numId="13">
    <w:abstractNumId w:val="15"/>
  </w:num>
  <w:num w:numId="14">
    <w:abstractNumId w:val="24"/>
  </w:num>
  <w:num w:numId="15">
    <w:abstractNumId w:val="10"/>
  </w:num>
  <w:num w:numId="16">
    <w:abstractNumId w:val="23"/>
  </w:num>
  <w:num w:numId="17">
    <w:abstractNumId w:val="7"/>
  </w:num>
  <w:num w:numId="18">
    <w:abstractNumId w:val="19"/>
  </w:num>
  <w:num w:numId="19">
    <w:abstractNumId w:val="9"/>
  </w:num>
  <w:num w:numId="20">
    <w:abstractNumId w:val="9"/>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22"/>
  </w:num>
  <w:num w:numId="22">
    <w:abstractNumId w:val="17"/>
  </w:num>
  <w:num w:numId="23">
    <w:abstractNumId w:val="18"/>
  </w:num>
  <w:num w:numId="24">
    <w:abstractNumId w:val="11"/>
  </w:num>
  <w:num w:numId="25">
    <w:abstractNumId w:val="12"/>
  </w:num>
  <w:num w:numId="26">
    <w:abstractNumId w:val="8"/>
  </w:num>
  <w:num w:numId="27">
    <w:abstractNumId w:val="1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2015C"/>
    <w:rsid w:val="00031F16"/>
    <w:rsid w:val="00035031"/>
    <w:rsid w:val="0004456C"/>
    <w:rsid w:val="00052EA8"/>
    <w:rsid w:val="00055BE6"/>
    <w:rsid w:val="00057ABA"/>
    <w:rsid w:val="00060327"/>
    <w:rsid w:val="00061F1A"/>
    <w:rsid w:val="000647E4"/>
    <w:rsid w:val="00072D7A"/>
    <w:rsid w:val="00087AAC"/>
    <w:rsid w:val="00092D56"/>
    <w:rsid w:val="00096079"/>
    <w:rsid w:val="000A20BE"/>
    <w:rsid w:val="000B42D4"/>
    <w:rsid w:val="000C16D1"/>
    <w:rsid w:val="000C587B"/>
    <w:rsid w:val="000D2D12"/>
    <w:rsid w:val="000F6376"/>
    <w:rsid w:val="00115A0A"/>
    <w:rsid w:val="001204C0"/>
    <w:rsid w:val="00124362"/>
    <w:rsid w:val="00124DC5"/>
    <w:rsid w:val="001305E7"/>
    <w:rsid w:val="001308C0"/>
    <w:rsid w:val="00131496"/>
    <w:rsid w:val="001330E6"/>
    <w:rsid w:val="00141CFA"/>
    <w:rsid w:val="001466F8"/>
    <w:rsid w:val="00153E49"/>
    <w:rsid w:val="001656A9"/>
    <w:rsid w:val="001727BA"/>
    <w:rsid w:val="001727F0"/>
    <w:rsid w:val="00174867"/>
    <w:rsid w:val="0018175C"/>
    <w:rsid w:val="0018584C"/>
    <w:rsid w:val="0019551B"/>
    <w:rsid w:val="00195A19"/>
    <w:rsid w:val="001A6BB4"/>
    <w:rsid w:val="001B3BAF"/>
    <w:rsid w:val="001B5430"/>
    <w:rsid w:val="001C3402"/>
    <w:rsid w:val="001E01D7"/>
    <w:rsid w:val="00217198"/>
    <w:rsid w:val="00226846"/>
    <w:rsid w:val="00254579"/>
    <w:rsid w:val="00255C55"/>
    <w:rsid w:val="00266CAF"/>
    <w:rsid w:val="00272BFF"/>
    <w:rsid w:val="00277769"/>
    <w:rsid w:val="00281042"/>
    <w:rsid w:val="00292847"/>
    <w:rsid w:val="002A5234"/>
    <w:rsid w:val="002C7386"/>
    <w:rsid w:val="00322687"/>
    <w:rsid w:val="00332392"/>
    <w:rsid w:val="0033554A"/>
    <w:rsid w:val="00341571"/>
    <w:rsid w:val="00357C97"/>
    <w:rsid w:val="00364CC1"/>
    <w:rsid w:val="00364D68"/>
    <w:rsid w:val="003A2418"/>
    <w:rsid w:val="003A4A3A"/>
    <w:rsid w:val="003B1EE8"/>
    <w:rsid w:val="003B324D"/>
    <w:rsid w:val="003B4B3C"/>
    <w:rsid w:val="003B55BF"/>
    <w:rsid w:val="003C765A"/>
    <w:rsid w:val="003E107E"/>
    <w:rsid w:val="003E267A"/>
    <w:rsid w:val="003F31AE"/>
    <w:rsid w:val="00404E67"/>
    <w:rsid w:val="0041562E"/>
    <w:rsid w:val="00432CEC"/>
    <w:rsid w:val="004341C8"/>
    <w:rsid w:val="00451102"/>
    <w:rsid w:val="00451D91"/>
    <w:rsid w:val="004647C9"/>
    <w:rsid w:val="00466522"/>
    <w:rsid w:val="004701CE"/>
    <w:rsid w:val="00471CFD"/>
    <w:rsid w:val="00481F90"/>
    <w:rsid w:val="0048595F"/>
    <w:rsid w:val="004C0C99"/>
    <w:rsid w:val="004C168F"/>
    <w:rsid w:val="004C77FF"/>
    <w:rsid w:val="004E2654"/>
    <w:rsid w:val="004E39BF"/>
    <w:rsid w:val="004F184B"/>
    <w:rsid w:val="0050376D"/>
    <w:rsid w:val="00515830"/>
    <w:rsid w:val="005234C5"/>
    <w:rsid w:val="005339FC"/>
    <w:rsid w:val="005706F8"/>
    <w:rsid w:val="005812B7"/>
    <w:rsid w:val="00592386"/>
    <w:rsid w:val="00595B7C"/>
    <w:rsid w:val="005968CF"/>
    <w:rsid w:val="005A2EA0"/>
    <w:rsid w:val="005A594A"/>
    <w:rsid w:val="005B6568"/>
    <w:rsid w:val="005B727B"/>
    <w:rsid w:val="005C0A07"/>
    <w:rsid w:val="005C4AC7"/>
    <w:rsid w:val="005D1533"/>
    <w:rsid w:val="005D1C91"/>
    <w:rsid w:val="00606F72"/>
    <w:rsid w:val="006231DB"/>
    <w:rsid w:val="00625C10"/>
    <w:rsid w:val="00643917"/>
    <w:rsid w:val="0064647D"/>
    <w:rsid w:val="00666AC1"/>
    <w:rsid w:val="00670B2A"/>
    <w:rsid w:val="00697AE1"/>
    <w:rsid w:val="006A789E"/>
    <w:rsid w:val="006C5E30"/>
    <w:rsid w:val="006E4F38"/>
    <w:rsid w:val="006F6643"/>
    <w:rsid w:val="006F6F39"/>
    <w:rsid w:val="0070525F"/>
    <w:rsid w:val="0070596A"/>
    <w:rsid w:val="00706A86"/>
    <w:rsid w:val="007132F2"/>
    <w:rsid w:val="00720D20"/>
    <w:rsid w:val="00725896"/>
    <w:rsid w:val="00734ADA"/>
    <w:rsid w:val="00737FE0"/>
    <w:rsid w:val="0074325B"/>
    <w:rsid w:val="007441FB"/>
    <w:rsid w:val="007474D8"/>
    <w:rsid w:val="0076283C"/>
    <w:rsid w:val="00790036"/>
    <w:rsid w:val="00797097"/>
    <w:rsid w:val="007A3691"/>
    <w:rsid w:val="007C3A47"/>
    <w:rsid w:val="007D1994"/>
    <w:rsid w:val="007E24C0"/>
    <w:rsid w:val="00824ADE"/>
    <w:rsid w:val="00830D3C"/>
    <w:rsid w:val="00831780"/>
    <w:rsid w:val="00863B5C"/>
    <w:rsid w:val="008651FF"/>
    <w:rsid w:val="00880F6A"/>
    <w:rsid w:val="00882AC0"/>
    <w:rsid w:val="00894EB0"/>
    <w:rsid w:val="008A3F88"/>
    <w:rsid w:val="008B25E6"/>
    <w:rsid w:val="008C0845"/>
    <w:rsid w:val="008C116D"/>
    <w:rsid w:val="008D3EFE"/>
    <w:rsid w:val="008D6AE2"/>
    <w:rsid w:val="008E54A1"/>
    <w:rsid w:val="008F1C5C"/>
    <w:rsid w:val="008F37C3"/>
    <w:rsid w:val="00902AE2"/>
    <w:rsid w:val="00906B5C"/>
    <w:rsid w:val="00907A92"/>
    <w:rsid w:val="00914C8C"/>
    <w:rsid w:val="00916508"/>
    <w:rsid w:val="009326AB"/>
    <w:rsid w:val="00936740"/>
    <w:rsid w:val="00940032"/>
    <w:rsid w:val="00952DC0"/>
    <w:rsid w:val="009538F8"/>
    <w:rsid w:val="0095451E"/>
    <w:rsid w:val="00964048"/>
    <w:rsid w:val="00967C1E"/>
    <w:rsid w:val="009800FD"/>
    <w:rsid w:val="00981E15"/>
    <w:rsid w:val="00993B86"/>
    <w:rsid w:val="00997631"/>
    <w:rsid w:val="009B241F"/>
    <w:rsid w:val="009B4549"/>
    <w:rsid w:val="009B76DB"/>
    <w:rsid w:val="009C3BA5"/>
    <w:rsid w:val="009D2B14"/>
    <w:rsid w:val="009D7813"/>
    <w:rsid w:val="009E7C8E"/>
    <w:rsid w:val="00A040EA"/>
    <w:rsid w:val="00A0700A"/>
    <w:rsid w:val="00A10100"/>
    <w:rsid w:val="00A42E5E"/>
    <w:rsid w:val="00A54094"/>
    <w:rsid w:val="00A64982"/>
    <w:rsid w:val="00A72FA3"/>
    <w:rsid w:val="00A831F5"/>
    <w:rsid w:val="00A84C24"/>
    <w:rsid w:val="00A931F0"/>
    <w:rsid w:val="00AA01AC"/>
    <w:rsid w:val="00AA7029"/>
    <w:rsid w:val="00AC2D78"/>
    <w:rsid w:val="00AC4D40"/>
    <w:rsid w:val="00AC7478"/>
    <w:rsid w:val="00AC7CEC"/>
    <w:rsid w:val="00AE0AB7"/>
    <w:rsid w:val="00AE5DE1"/>
    <w:rsid w:val="00B0419A"/>
    <w:rsid w:val="00B0751A"/>
    <w:rsid w:val="00B1092E"/>
    <w:rsid w:val="00B12F7D"/>
    <w:rsid w:val="00B14F10"/>
    <w:rsid w:val="00B24F10"/>
    <w:rsid w:val="00B37563"/>
    <w:rsid w:val="00B4502E"/>
    <w:rsid w:val="00B46D81"/>
    <w:rsid w:val="00B54A3A"/>
    <w:rsid w:val="00B838A2"/>
    <w:rsid w:val="00B93DF3"/>
    <w:rsid w:val="00BA1402"/>
    <w:rsid w:val="00BB4A14"/>
    <w:rsid w:val="00BB7599"/>
    <w:rsid w:val="00BC166F"/>
    <w:rsid w:val="00BD2C02"/>
    <w:rsid w:val="00BE0820"/>
    <w:rsid w:val="00BE2F32"/>
    <w:rsid w:val="00BE311B"/>
    <w:rsid w:val="00BE6699"/>
    <w:rsid w:val="00BF79A9"/>
    <w:rsid w:val="00C0293A"/>
    <w:rsid w:val="00C06247"/>
    <w:rsid w:val="00C11715"/>
    <w:rsid w:val="00C1225E"/>
    <w:rsid w:val="00C16422"/>
    <w:rsid w:val="00C1678B"/>
    <w:rsid w:val="00C21B7C"/>
    <w:rsid w:val="00C25C23"/>
    <w:rsid w:val="00C262BB"/>
    <w:rsid w:val="00C32772"/>
    <w:rsid w:val="00C52E0D"/>
    <w:rsid w:val="00C5680F"/>
    <w:rsid w:val="00C6114F"/>
    <w:rsid w:val="00C673FB"/>
    <w:rsid w:val="00C7558C"/>
    <w:rsid w:val="00C77133"/>
    <w:rsid w:val="00C80233"/>
    <w:rsid w:val="00C91A7B"/>
    <w:rsid w:val="00C97F21"/>
    <w:rsid w:val="00CC21D6"/>
    <w:rsid w:val="00CC32F0"/>
    <w:rsid w:val="00CE4937"/>
    <w:rsid w:val="00CF67C7"/>
    <w:rsid w:val="00CF6F6F"/>
    <w:rsid w:val="00D078D5"/>
    <w:rsid w:val="00D163A1"/>
    <w:rsid w:val="00D16581"/>
    <w:rsid w:val="00D40905"/>
    <w:rsid w:val="00D46A50"/>
    <w:rsid w:val="00D50624"/>
    <w:rsid w:val="00D5189A"/>
    <w:rsid w:val="00D53D05"/>
    <w:rsid w:val="00D53EED"/>
    <w:rsid w:val="00D605B2"/>
    <w:rsid w:val="00D73E70"/>
    <w:rsid w:val="00D849FA"/>
    <w:rsid w:val="00D901C7"/>
    <w:rsid w:val="00D90BAE"/>
    <w:rsid w:val="00D90DC4"/>
    <w:rsid w:val="00DA0F43"/>
    <w:rsid w:val="00DA1F8F"/>
    <w:rsid w:val="00DA6429"/>
    <w:rsid w:val="00DB41AF"/>
    <w:rsid w:val="00DB4F15"/>
    <w:rsid w:val="00DB67A4"/>
    <w:rsid w:val="00DB7CC7"/>
    <w:rsid w:val="00DC0E91"/>
    <w:rsid w:val="00DD43A5"/>
    <w:rsid w:val="00DF18CF"/>
    <w:rsid w:val="00E03DFA"/>
    <w:rsid w:val="00E11B1D"/>
    <w:rsid w:val="00E21822"/>
    <w:rsid w:val="00E22B14"/>
    <w:rsid w:val="00E50F97"/>
    <w:rsid w:val="00E57AD2"/>
    <w:rsid w:val="00E6065D"/>
    <w:rsid w:val="00E74590"/>
    <w:rsid w:val="00E75500"/>
    <w:rsid w:val="00EA6D59"/>
    <w:rsid w:val="00EB0EE1"/>
    <w:rsid w:val="00EB0EFA"/>
    <w:rsid w:val="00EC1660"/>
    <w:rsid w:val="00EC2679"/>
    <w:rsid w:val="00EC3CE2"/>
    <w:rsid w:val="00EE1408"/>
    <w:rsid w:val="00F2450C"/>
    <w:rsid w:val="00F27B29"/>
    <w:rsid w:val="00F46415"/>
    <w:rsid w:val="00F509DD"/>
    <w:rsid w:val="00F5325A"/>
    <w:rsid w:val="00F621E3"/>
    <w:rsid w:val="00F64364"/>
    <w:rsid w:val="00F64809"/>
    <w:rsid w:val="00F65C91"/>
    <w:rsid w:val="00F71678"/>
    <w:rsid w:val="00F71D63"/>
    <w:rsid w:val="00F7551C"/>
    <w:rsid w:val="00F86DD4"/>
    <w:rsid w:val="00FA4BAA"/>
    <w:rsid w:val="00FC187C"/>
    <w:rsid w:val="00FF3152"/>
    <w:rsid w:val="00FF5CF8"/>
    <w:rsid w:val="00FF6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8B25E6"/>
    <w:pPr>
      <w:widowControl/>
      <w:spacing w:before="120" w:line="360" w:lineRule="auto"/>
      <w:contextualSpacing w:val="0"/>
    </w:pPr>
    <w:rPr>
      <w:rFonts w:asciiTheme="minorHAnsi" w:eastAsiaTheme="minorEastAsia" w:hAnsiTheme="minorHAnsi" w:cstheme="minorBidi"/>
      <w:color w:val="auto"/>
      <w:szCs w:val="24"/>
    </w:rPr>
  </w:style>
  <w:style w:type="paragraph" w:styleId="Heading1">
    <w:name w:val="heading 1"/>
    <w:basedOn w:val="Normal"/>
    <w:next w:val="TextBody"/>
    <w:qFormat/>
    <w:rsid w:val="002C7386"/>
    <w:pPr>
      <w:keepNext/>
      <w:spacing w:line="480" w:lineRule="auto"/>
      <w:ind w:firstLine="0"/>
      <w:jc w:val="center"/>
      <w:outlineLvl w:val="0"/>
    </w:pPr>
    <w:rPr>
      <w:rFonts w:asciiTheme="majorHAnsi" w:hAnsiTheme="majorHAnsi"/>
      <w:b/>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2C73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7386"/>
  </w:style>
  <w:style w:type="paragraph" w:customStyle="1" w:styleId="Normal1">
    <w:name w:val="Normal1"/>
  </w:style>
  <w:style w:type="paragraph" w:styleId="Title">
    <w:name w:val="Title"/>
    <w:basedOn w:val="Normal"/>
    <w:next w:val="Subtitle"/>
    <w:qFormat/>
    <w:rsid w:val="00E11B1D"/>
    <w:pPr>
      <w:jc w:val="center"/>
    </w:pPr>
    <w:rPr>
      <w:rFonts w:asciiTheme="majorHAnsi" w:eastAsia="Arial Unicode MS" w:hAnsiTheme="majorHAnsi" w:cs="Times New Roman"/>
      <w:b/>
      <w:sz w:val="40"/>
      <w:szCs w:val="40"/>
      <w:lang w:eastAsia="zh-CN" w:bidi="hi-IN"/>
    </w:rPr>
  </w:style>
  <w:style w:type="paragraph" w:styleId="Subtitle">
    <w:name w:val="Subtitle"/>
    <w:basedOn w:val="Normal"/>
    <w:next w:val="TextBody"/>
    <w:qFormat/>
    <w:rsid w:val="001B3BAF"/>
    <w:pPr>
      <w:spacing w:after="120"/>
      <w:jc w:val="center"/>
    </w:pPr>
    <w:rPr>
      <w:rFonts w:asciiTheme="majorHAnsi" w:eastAsia="Arial Unicode MS" w:hAnsiTheme="majorHAnsi" w:cs="Arial Unicode MS"/>
      <w:b/>
      <w:sz w:val="28"/>
      <w:szCs w:val="28"/>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E11B1D"/>
    <w:rPr>
      <w:rFonts w:asciiTheme="minorHAnsi" w:eastAsiaTheme="minorEastAsia" w:hAnsiTheme="minorHAnsi" w:cstheme="minorBidi"/>
      <w:sz w:val="18"/>
    </w:rPr>
  </w:style>
  <w:style w:type="paragraph" w:styleId="FootnoteText">
    <w:name w:val="footnote text"/>
    <w:basedOn w:val="Normal"/>
    <w:link w:val="FootnoteTextChar"/>
    <w:qFormat/>
    <w:rsid w:val="00E11B1D"/>
    <w:pPr>
      <w:suppressLineNumbers/>
      <w:spacing w:after="144" w:line="240" w:lineRule="auto"/>
      <w:ind w:firstLine="0"/>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E11B1D"/>
    <w:pPr>
      <w:keepLines/>
      <w:suppressLineNumbers/>
      <w:spacing w:line="240" w:lineRule="auto"/>
      <w:ind w:firstLine="0"/>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C77133"/>
    <w:pPr>
      <w:spacing w:after="120" w:line="240" w:lineRule="auto"/>
      <w:ind w:left="720" w:hanging="720"/>
    </w:pPr>
    <w:rPr>
      <w:rFonts w:eastAsia="Arial Unicode MS" w:cs="Arial Unicode MS"/>
      <w:sz w:val="20"/>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8B25E6"/>
    <w:pPr>
      <w:widowControl/>
      <w:spacing w:before="120" w:line="360" w:lineRule="auto"/>
      <w:contextualSpacing w:val="0"/>
    </w:pPr>
    <w:rPr>
      <w:rFonts w:asciiTheme="minorHAnsi" w:eastAsiaTheme="minorEastAsia" w:hAnsiTheme="minorHAnsi" w:cstheme="minorBidi"/>
      <w:color w:val="auto"/>
      <w:szCs w:val="24"/>
    </w:rPr>
  </w:style>
  <w:style w:type="paragraph" w:styleId="Heading1">
    <w:name w:val="heading 1"/>
    <w:basedOn w:val="Normal"/>
    <w:next w:val="TextBody"/>
    <w:qFormat/>
    <w:rsid w:val="002C7386"/>
    <w:pPr>
      <w:keepNext/>
      <w:spacing w:line="480" w:lineRule="auto"/>
      <w:ind w:firstLine="0"/>
      <w:jc w:val="center"/>
      <w:outlineLvl w:val="0"/>
    </w:pPr>
    <w:rPr>
      <w:rFonts w:asciiTheme="majorHAnsi" w:hAnsiTheme="majorHAnsi"/>
      <w:b/>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2C73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7386"/>
  </w:style>
  <w:style w:type="paragraph" w:customStyle="1" w:styleId="Normal1">
    <w:name w:val="Normal1"/>
  </w:style>
  <w:style w:type="paragraph" w:styleId="Title">
    <w:name w:val="Title"/>
    <w:basedOn w:val="Normal"/>
    <w:next w:val="Subtitle"/>
    <w:qFormat/>
    <w:rsid w:val="00E11B1D"/>
    <w:pPr>
      <w:jc w:val="center"/>
    </w:pPr>
    <w:rPr>
      <w:rFonts w:asciiTheme="majorHAnsi" w:eastAsia="Arial Unicode MS" w:hAnsiTheme="majorHAnsi" w:cs="Times New Roman"/>
      <w:b/>
      <w:sz w:val="40"/>
      <w:szCs w:val="40"/>
      <w:lang w:eastAsia="zh-CN" w:bidi="hi-IN"/>
    </w:rPr>
  </w:style>
  <w:style w:type="paragraph" w:styleId="Subtitle">
    <w:name w:val="Subtitle"/>
    <w:basedOn w:val="Normal"/>
    <w:next w:val="TextBody"/>
    <w:qFormat/>
    <w:rsid w:val="001B3BAF"/>
    <w:pPr>
      <w:spacing w:after="120"/>
      <w:jc w:val="center"/>
    </w:pPr>
    <w:rPr>
      <w:rFonts w:asciiTheme="majorHAnsi" w:eastAsia="Arial Unicode MS" w:hAnsiTheme="majorHAnsi" w:cs="Arial Unicode MS"/>
      <w:b/>
      <w:sz w:val="28"/>
      <w:szCs w:val="28"/>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E11B1D"/>
    <w:rPr>
      <w:rFonts w:asciiTheme="minorHAnsi" w:eastAsiaTheme="minorEastAsia" w:hAnsiTheme="minorHAnsi" w:cstheme="minorBidi"/>
      <w:sz w:val="18"/>
    </w:rPr>
  </w:style>
  <w:style w:type="paragraph" w:styleId="FootnoteText">
    <w:name w:val="footnote text"/>
    <w:basedOn w:val="Normal"/>
    <w:link w:val="FootnoteTextChar"/>
    <w:qFormat/>
    <w:rsid w:val="00E11B1D"/>
    <w:pPr>
      <w:suppressLineNumbers/>
      <w:spacing w:after="144" w:line="240" w:lineRule="auto"/>
      <w:ind w:firstLine="0"/>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E11B1D"/>
    <w:pPr>
      <w:keepLines/>
      <w:suppressLineNumbers/>
      <w:spacing w:line="240" w:lineRule="auto"/>
      <w:ind w:firstLine="0"/>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C77133"/>
    <w:pPr>
      <w:spacing w:after="120" w:line="240" w:lineRule="auto"/>
      <w:ind w:left="720" w:hanging="720"/>
    </w:pPr>
    <w:rPr>
      <w:rFonts w:eastAsia="Arial Unicode MS" w:cs="Arial Unicode MS"/>
      <w:sz w:val="20"/>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1221908">
      <w:bodyDiv w:val="1"/>
      <w:marLeft w:val="0"/>
      <w:marRight w:val="0"/>
      <w:marTop w:val="0"/>
      <w:marBottom w:val="0"/>
      <w:divBdr>
        <w:top w:val="none" w:sz="0" w:space="0" w:color="auto"/>
        <w:left w:val="none" w:sz="0" w:space="0" w:color="auto"/>
        <w:bottom w:val="none" w:sz="0" w:space="0" w:color="auto"/>
        <w:right w:val="none" w:sz="0" w:space="0" w:color="auto"/>
      </w:divBdr>
      <w:divsChild>
        <w:div w:id="1903057321">
          <w:marLeft w:val="0"/>
          <w:marRight w:val="0"/>
          <w:marTop w:val="0"/>
          <w:marBottom w:val="0"/>
          <w:divBdr>
            <w:top w:val="none" w:sz="0" w:space="0" w:color="auto"/>
            <w:left w:val="none" w:sz="0" w:space="0" w:color="auto"/>
            <w:bottom w:val="none" w:sz="0" w:space="0" w:color="auto"/>
            <w:right w:val="none" w:sz="0" w:space="0" w:color="auto"/>
          </w:divBdr>
          <w:divsChild>
            <w:div w:id="1491679783">
              <w:marLeft w:val="0"/>
              <w:marRight w:val="0"/>
              <w:marTop w:val="0"/>
              <w:marBottom w:val="0"/>
              <w:divBdr>
                <w:top w:val="none" w:sz="0" w:space="0" w:color="auto"/>
                <w:left w:val="none" w:sz="0" w:space="0" w:color="auto"/>
                <w:bottom w:val="none" w:sz="0" w:space="0" w:color="auto"/>
                <w:right w:val="none" w:sz="0" w:space="0" w:color="auto"/>
              </w:divBdr>
              <w:divsChild>
                <w:div w:id="7343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9545E-AD02-8F44-8795-6E13E6EC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3392</Words>
  <Characters>19337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22684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 Rainey</cp:lastModifiedBy>
  <cp:revision>10</cp:revision>
  <cp:lastPrinted>2015-03-09T20:55:00Z</cp:lastPrinted>
  <dcterms:created xsi:type="dcterms:W3CDTF">2015-03-09T20:55:00Z</dcterms:created>
  <dcterms:modified xsi:type="dcterms:W3CDTF">2015-03-28T18:52:00Z</dcterms:modified>
</cp:coreProperties>
</file>