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Parte A - Auditoría técnica de scoring crediticio</w:t>
      </w:r>
    </w:p>
    <w:p>
      <w:pPr>
        <w:jc w:val="center"/>
      </w:pPr>
      <w:r>
        <w:rPr>
          <w:i/>
          <w:sz w:val="22"/>
        </w:rPr>
        <w:t>Guía de ejecución</w:t>
      </w:r>
    </w:p>
    <w:p/>
    <w:p>
      <w:pPr>
        <w:pStyle w:val="Heading1"/>
      </w:pPr>
      <w:r>
        <w:t>Archivos incluidos</w:t>
      </w:r>
    </w:p>
    <w:p>
      <w:pPr>
        <w:pStyle w:val="ListBullet"/>
      </w:pPr>
      <w:r>
        <w:t>creditos_dataset.csv: dataset completo con conjunto de entrenamiento y conjunto de auditoría.</w:t>
      </w:r>
    </w:p>
    <w:p>
      <w:pPr>
        <w:pStyle w:val="ListBullet"/>
      </w:pPr>
      <w:r>
        <w:t>predicciones_creditos.csv: subconjunto de auditoría con probabilidades, predicción de default y decisión de aprobación.</w:t>
      </w:r>
    </w:p>
    <w:p>
      <w:pPr>
        <w:pStyle w:val="ListBullet"/>
      </w:pPr>
      <w:r>
        <w:t>modelo_creditos.pkl: pipeline entrenado y umbral de decisión.</w:t>
      </w:r>
    </w:p>
    <w:p>
      <w:pPr>
        <w:pStyle w:val="ListBullet"/>
      </w:pPr>
      <w:r>
        <w:t>notebook_auditoria_creditos.ipynb: notebook guiado.</w:t>
      </w:r>
    </w:p>
    <w:p>
      <w:pPr>
        <w:pStyle w:val="ListBullet"/>
      </w:pPr>
      <w:r>
        <w:t>explicaciones_precalculadas_lime_shap.csv: salidas precalculadas para el caso individual usado en el notebook.</w:t>
      </w:r>
    </w:p>
    <w:p>
      <w:pPr>
        <w:pStyle w:val="ListBullet"/>
      </w:pPr>
      <w:r>
        <w:t>requirements.txt: dependencias sugeridas.</w:t>
      </w:r>
    </w:p>
    <w:p>
      <w:pPr>
        <w:pStyle w:val="Heading1"/>
      </w:pPr>
      <w:r>
        <w:t>Definiciones operativas</w:t>
      </w:r>
    </w:p>
    <w:p>
      <w:pPr>
        <w:pStyle w:val="ListBullet"/>
      </w:pPr>
      <w:r>
        <w:t>default_real = 1 significa que la persona entró en default.</w:t>
      </w:r>
    </w:p>
    <w:p>
      <w:pPr>
        <w:pStyle w:val="ListBullet"/>
      </w:pPr>
      <w:r>
        <w:t>pred_default = 1 significa que el modelo la clasificó como riesgosa.</w:t>
      </w:r>
    </w:p>
    <w:p>
      <w:pPr>
        <w:pStyle w:val="ListBullet"/>
      </w:pPr>
      <w:r>
        <w:t>aprobado_modelo = 1 significa que se aprueba el crédito.</w:t>
      </w:r>
    </w:p>
    <w:p>
      <w:pPr>
        <w:pStyle w:val="ListBullet"/>
      </w:pPr>
      <w:r>
        <w:t>Grupo A es referencia; Grupo B es protegido para la auditoría.</w:t>
      </w:r>
    </w:p>
    <w:p>
      <w:pPr>
        <w:pStyle w:val="ListBullet"/>
      </w:pPr>
      <w:r>
        <w:t>La variable grupo se usa solo para auditoría y no como feature de entrenamiento.</w:t>
      </w:r>
    </w:p>
    <w:p>
      <w:pPr>
        <w:pStyle w:val="ListBullet"/>
      </w:pPr>
      <w:r>
        <w:t>El notebook usa un caso fijo para explicabilidad: case_id = 775.</w:t>
      </w:r>
    </w:p>
    <w:p>
      <w:pPr>
        <w:pStyle w:val="Heading1"/>
      </w:pPr>
      <w:r>
        <w:t>Resultado esperado</w:t>
      </w:r>
    </w:p>
    <w:p>
      <w:r>
        <w:t>El informe debe incluir métricas, interpretación, explicación local, discusión de proxies, mitigaciones, monitoreo post-despliegue y decisión técnica final.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