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  <w:b/>
          <w:color w:val="164A78"/>
          <w:sz w:val="40"/>
        </w:rPr>
        <w:t>AI人工智能系统教学课程</w:t>
        <w:br/>
        <w:t>10册Word套装总索引</w:t>
      </w:r>
    </w:p>
    <w:p>
      <w:r>
        <w:t>本索引用于快速查找各分册主题、学习目标和项目任务。10册正文合计约为百万字级教学初稿，适合继续编辑、排版、拆课、制作PPT或网页课程。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册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分册标题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核心主题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综合项目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正文规模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第01册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AI通识与学习地图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人工智能、机器学习、深度学习、大语言模型、Prompt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设计一个个人AI学习助手：能记录目标、检索课程笔记、生成练习题并安排复习。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约104,749非空字符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第02册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Python、数据处理与数学基础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Python、变量、函数、NumPy、Pandas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完成一个订单CSV分析项目：读取数据、清洗字段、统计渠道收入、输出图表和解释。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约106,145非空字符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第03册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机器学习基础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机器学习、特征工程、线性回归、逻辑回归、决策树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完成一个用户流失预测项目：清洗特征、训练模型、解释评估指标并给出业务建议。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约106,562非空字符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第04册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深度学习基础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神经网络、张量、反向传播、激活函数、CNN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使用PyTorch完成一个小型分类任务，记录训练曲线、过拟合现象和改进策略。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约108,000非空字符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第05册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大语言模型原理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LLM、Token、上下文窗口、预训练、指令微调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设计一个大模型问答评估集，比较普通问答、带资料问答和结构化输出的差异。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约109,076非空字符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第06册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Prompt工程与AI协作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Prompt、角色、目标、上下文、输出格式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建立一套个人Prompt模板库，覆盖写作、总结、学习、代码、数据分析五类任务。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约109,950非空字符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第07册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RAG知识库系统实战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RAG、知识库、文档切分、Embedding、向量数据库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完成一个课程RAG知识库：导入讲义、切分、检索、回答、引用来源并建立20条评估题。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约111,062非空字符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第08册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AI Agent系统实战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AI Agent、工具调用、函数调用、状态、记忆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设计一个AI学习计划助理Agent：根据目标制定计划、调用日历、检索知识库、生成练习并请求人工确认。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约111,509非空字符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第09册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多模态AI与工程化落地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多模态、图像识别、语音识别、视频分析、部署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设计一个能读取图片、PDF和文字的资料整理助手，输出摘要、标签和待办清单。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约112,583非空字符</w:t>
            </w:r>
          </w:p>
        </w:tc>
      </w:tr>
      <w:tr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第10册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AI安全治理、行业项目与作品集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AI安全、隐私、偏见、可解释性、合规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完成一个可展示的AI作品集项目，包含需求说明、架构图、评估集、风险清单和演示脚本。</w:t>
            </w:r>
          </w:p>
        </w:tc>
        <w:tc>
          <w:tcPr>
            <w:tcW w:type="dxa" w:w="2074"/>
          </w:tcPr>
          <w:p>
            <w:r>
              <w:rPr>
                <w:rFonts w:ascii="Noto Sans CJK SC" w:hAnsi="Noto Sans CJK SC" w:eastAsia="Noto Sans CJK SC"/>
                <w:sz w:val="15"/>
              </w:rPr>
              <w:t>约113,090非空字符</w:t>
            </w:r>
          </w:p>
        </w:tc>
      </w:tr>
    </w:tbl>
    <w:p>
      <w:r>
        <w:t>推荐学习顺序：第1册建立全局地图，第2册补代码和数据基础，第3到第5册理解模型原理，第6到第8册进入大模型应用开发，第9册学习工程化，第10册完成治理与作品集。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Noto Sans CJK SC" w:hAnsi="Noto Sans CJK SC" w:eastAsia="Noto Sans CJK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4A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5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64A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0505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28" w:lineRule="auto"/>
      <w:ind w:left="216" w:right="216"/>
    </w:pPr>
    <w:rPr>
      <w:rFonts w:ascii="Courier New" w:hAnsi="Courier New" w:eastAsia="Courier New"/>
      <w:sz w:val="15"/>
    </w:rPr>
  </w:style>
  <w:style w:type="paragraph" w:customStyle="1" w:styleId="TocLine">
    <w:name w:val="TocLine"/>
    <w:pPr>
      <w:spacing w:after="20"/>
      <w:ind w:left="144"/>
    </w:pPr>
    <w:rPr>
      <w:rFonts w:ascii="Noto Sans CJK SC" w:hAnsi="Noto Sans CJK SC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