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42597" w14:textId="77777777" w:rsidR="00756806" w:rsidRPr="00756806" w:rsidRDefault="00756806" w:rsidP="00756806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r w:rsidRPr="00756806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Item 6: ELIGIBILITY CRITERIA.</w:t>
      </w:r>
    </w:p>
    <w:p w14:paraId="1D22FAFB" w14:textId="77777777" w:rsidR="00756806" w:rsidRPr="00756806" w:rsidRDefault="00756806" w:rsidP="00756806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0" w:name="article1.body1.sec6.sec3.sec3.p1"/>
      <w:bookmarkEnd w:id="0"/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Specify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study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characteristics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(e.g., PICOS,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length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follow-up)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report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characteristics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(e.g.,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years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considered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language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publication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status)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as criteria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eligibility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giving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rationale.</w:t>
      </w:r>
    </w:p>
    <w:p w14:paraId="620342F4" w14:textId="77777777" w:rsidR="00756806" w:rsidRPr="00756806" w:rsidRDefault="00756806" w:rsidP="00756806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proofErr w:type="spellStart"/>
      <w:r w:rsidRPr="00756806">
        <w:rPr>
          <w:rStyle w:val="Strong"/>
          <w:rFonts w:asciiTheme="minorHAnsi" w:hAnsiTheme="minorHAnsi" w:cs="Arial"/>
          <w:color w:val="333333"/>
          <w:sz w:val="22"/>
          <w:szCs w:val="22"/>
        </w:rPr>
        <w:t>Examples</w:t>
      </w:r>
      <w:proofErr w:type="spellEnd"/>
      <w:r w:rsidRPr="00756806">
        <w:rPr>
          <w:rStyle w:val="Strong"/>
          <w:rFonts w:asciiTheme="minorHAnsi" w:hAnsiTheme="minorHAnsi" w:cs="Arial"/>
          <w:color w:val="333333"/>
          <w:sz w:val="22"/>
          <w:szCs w:val="22"/>
        </w:rPr>
        <w:t>.</w:t>
      </w:r>
      <w:r w:rsidRPr="00756806">
        <w:rPr>
          <w:rFonts w:asciiTheme="minorHAnsi" w:hAnsiTheme="minorHAnsi" w:cs="Arial"/>
          <w:color w:val="333333"/>
          <w:sz w:val="22"/>
          <w:szCs w:val="22"/>
        </w:rPr>
        <w:t> </w:t>
      </w:r>
      <w:r w:rsidRPr="00756806">
        <w:rPr>
          <w:rStyle w:val="Emphasis"/>
          <w:rFonts w:asciiTheme="minorHAnsi" w:hAnsiTheme="minorHAnsi" w:cs="Arial"/>
          <w:color w:val="333333"/>
          <w:sz w:val="22"/>
          <w:szCs w:val="22"/>
        </w:rPr>
        <w:t>Types of studies</w:t>
      </w:r>
      <w:r w:rsidRPr="00756806">
        <w:rPr>
          <w:rFonts w:asciiTheme="minorHAnsi" w:hAnsiTheme="minorHAnsi" w:cs="Arial"/>
          <w:color w:val="333333"/>
          <w:sz w:val="22"/>
          <w:szCs w:val="22"/>
        </w:rPr>
        <w:t>: “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Randomised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clinical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trials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studying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administration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hepatitis B vaccine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CRF [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chronic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renal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failure]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patients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or without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dialysis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. No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language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publication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date, or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publication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status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restrictions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imposed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>…”</w:t>
      </w:r>
    </w:p>
    <w:p w14:paraId="322C6754" w14:textId="77777777" w:rsidR="00756806" w:rsidRPr="00756806" w:rsidRDefault="00756806" w:rsidP="00756806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756806">
        <w:rPr>
          <w:rStyle w:val="Emphasis"/>
          <w:rFonts w:asciiTheme="minorHAnsi" w:hAnsiTheme="minorHAnsi" w:cs="Arial"/>
          <w:color w:val="333333"/>
          <w:sz w:val="22"/>
          <w:szCs w:val="22"/>
        </w:rPr>
        <w:t xml:space="preserve">Types of </w:t>
      </w:r>
      <w:proofErr w:type="spellStart"/>
      <w:r w:rsidRPr="00756806">
        <w:rPr>
          <w:rStyle w:val="Emphasis"/>
          <w:rFonts w:asciiTheme="minorHAnsi" w:hAnsiTheme="minorHAnsi" w:cs="Arial"/>
          <w:color w:val="333333"/>
          <w:sz w:val="22"/>
          <w:szCs w:val="22"/>
        </w:rPr>
        <w:t>participants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>: “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Participants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age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CRF or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receiving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dialysis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haemodialysis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or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peritoneal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dialysis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)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considered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. CRF was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defined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as serum creatinine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greater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than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200 µmol/L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period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more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than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six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months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or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individuals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receiving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dialysis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(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haemodialysis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or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peritoneal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dialysis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>)…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Renal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transplant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patients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excluded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from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this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review as these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individuals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are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immunosuppressed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are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receiving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immunosuppressant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agents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prevent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rejection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their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transplanted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organs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have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essentially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normal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renal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function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>…”</w:t>
      </w:r>
    </w:p>
    <w:p w14:paraId="6C84CF70" w14:textId="77777777" w:rsidR="00756806" w:rsidRPr="00756806" w:rsidRDefault="00756806" w:rsidP="00756806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r w:rsidRPr="00756806">
        <w:rPr>
          <w:rStyle w:val="Emphasis"/>
          <w:rFonts w:asciiTheme="minorHAnsi" w:hAnsiTheme="minorHAnsi" w:cs="Arial"/>
          <w:color w:val="333333"/>
          <w:sz w:val="22"/>
          <w:szCs w:val="22"/>
        </w:rPr>
        <w:t xml:space="preserve">Types of </w:t>
      </w:r>
      <w:proofErr w:type="spellStart"/>
      <w:r w:rsidRPr="00756806">
        <w:rPr>
          <w:rStyle w:val="Emphasis"/>
          <w:rFonts w:asciiTheme="minorHAnsi" w:hAnsiTheme="minorHAnsi" w:cs="Arial"/>
          <w:color w:val="333333"/>
          <w:sz w:val="22"/>
          <w:szCs w:val="22"/>
        </w:rPr>
        <w:t>intervention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: “Trials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comparing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beneficial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harmful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effects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hepatitis B vaccines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adjuvant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or cytokine co-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interventions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[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] trials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comparing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beneficial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harmful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effects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immunoglobulin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prophylaxis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This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review was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limited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studies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looking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at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active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immunization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>. Hepatitis B vaccines (plasma or recombinant (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yeast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)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derived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)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all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types,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dose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regimens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versus placebo, control vaccine, or no vaccine…”</w:t>
      </w:r>
    </w:p>
    <w:p w14:paraId="3E16F84B" w14:textId="73C35306" w:rsidR="00756806" w:rsidRPr="00756806" w:rsidRDefault="00756806" w:rsidP="00756806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1" w:name="article1.body1.sec6.sec3.sec3.disp-quote"/>
      <w:bookmarkEnd w:id="1"/>
      <w:r w:rsidRPr="00756806">
        <w:rPr>
          <w:rStyle w:val="Emphasis"/>
          <w:rFonts w:asciiTheme="minorHAnsi" w:hAnsiTheme="minorHAnsi" w:cs="Arial"/>
          <w:color w:val="333333"/>
          <w:sz w:val="22"/>
          <w:szCs w:val="22"/>
        </w:rPr>
        <w:t xml:space="preserve">Types of </w:t>
      </w:r>
      <w:proofErr w:type="spellStart"/>
      <w:r w:rsidRPr="00756806">
        <w:rPr>
          <w:rStyle w:val="Emphasis"/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756806">
        <w:rPr>
          <w:rStyle w:val="Emphasis"/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Style w:val="Emphasis"/>
          <w:rFonts w:asciiTheme="minorHAnsi" w:hAnsiTheme="minorHAnsi" w:cs="Arial"/>
          <w:color w:val="333333"/>
          <w:sz w:val="22"/>
          <w:szCs w:val="22"/>
        </w:rPr>
        <w:t>measures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>: “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Primary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measures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: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Seroconversion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ie,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proportion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patients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adequate anti-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HBs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response (&gt;10 IU/L or Sample Ratio Units). Hepatitis B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infections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(as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measured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by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hepatitis B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core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antigen (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HBcAg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)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positivity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or persistent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HBsAg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positivity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),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both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acute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chronic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>. Acute (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primary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) HBV [hepatitis B virus]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infections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defined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seroconversion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HBsAg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positivity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or development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IgM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anti-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HBc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Chronic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HBV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infections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were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defined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persistence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HBsAg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more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than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six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months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or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HBsAg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positivity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liver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biopsy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compatible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with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 diagnosis or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chronic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hepatitis B.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Secondary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outcome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measures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: Adverse events of hepatitis B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vaccinations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>…[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>]…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mortality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>.” </w:t>
      </w:r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</w:p>
    <w:p w14:paraId="124031C9" w14:textId="77777777" w:rsidR="00756806" w:rsidRPr="00756806" w:rsidRDefault="00756806" w:rsidP="00756806">
      <w:pPr>
        <w:pStyle w:val="Heading4"/>
        <w:shd w:val="clear" w:color="auto" w:fill="FFFFFF"/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</w:pPr>
      <w:bookmarkStart w:id="2" w:name="s6c4"/>
      <w:bookmarkEnd w:id="2"/>
      <w:proofErr w:type="spellStart"/>
      <w:r w:rsidRPr="00756806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Explanation</w:t>
      </w:r>
      <w:proofErr w:type="spellEnd"/>
      <w:r w:rsidRPr="00756806">
        <w:rPr>
          <w:rFonts w:asciiTheme="minorHAnsi" w:hAnsiTheme="minorHAnsi" w:cs="Arial"/>
          <w:b w:val="0"/>
          <w:bCs w:val="0"/>
          <w:color w:val="333333"/>
          <w:sz w:val="22"/>
          <w:szCs w:val="22"/>
        </w:rPr>
        <w:t>.</w:t>
      </w:r>
    </w:p>
    <w:p w14:paraId="43C2AC02" w14:textId="77777777" w:rsidR="00756806" w:rsidRPr="00756806" w:rsidRDefault="00756806" w:rsidP="00756806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3" w:name="article1.body1.sec6.sec3.sec4.p1"/>
      <w:bookmarkEnd w:id="3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Knowledge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eligibility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criteria is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essential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appraising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validity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applicability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comprehensiveness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a review.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Thus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unambiguously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specify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eligibility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criteria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used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review.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Carefully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defined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eligibility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criteria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inform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various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steps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review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methodology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influence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development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search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strategy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serve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ensure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that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studies are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selected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in a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unbiased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manner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>.</w:t>
      </w:r>
    </w:p>
    <w:p w14:paraId="1E4DA737" w14:textId="08107E73" w:rsidR="00756806" w:rsidRPr="00756806" w:rsidRDefault="00756806" w:rsidP="00756806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4" w:name="article1.body1.sec6.sec3.sec4.p2"/>
      <w:bookmarkEnd w:id="4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A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study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described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in multiple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reports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one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report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describe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multiple studies.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Therefore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we separate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eligibility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criteria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into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following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two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components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: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study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characteristics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report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characteristics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. Both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need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reported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Study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eligibility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criteria are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likely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include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populations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interventions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comparators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outcomes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study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designs of interest (PICOS;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see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> </w:t>
      </w:r>
      <w:hyperlink r:id="rId5" w:anchor="pmed-1000100-box002" w:history="1">
        <w:r w:rsidRPr="00756806">
          <w:rPr>
            <w:rStyle w:val="Hyperlink"/>
            <w:rFonts w:asciiTheme="minorHAnsi" w:hAnsiTheme="minorHAnsi" w:cs="Arial"/>
            <w:color w:val="3C63AF"/>
            <w:sz w:val="22"/>
            <w:szCs w:val="22"/>
            <w:u w:val="none"/>
          </w:rPr>
          <w:t>Box 2</w:t>
        </w:r>
      </w:hyperlink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), as well as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other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study-specific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elements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such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specifying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 minimum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length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follow-up.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Authors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should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state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whether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studies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will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excluded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because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do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include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(or report)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specific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outcomes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help readers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ascertain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whether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systematic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review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biased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as a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consequence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selective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reporting.</w:t>
      </w:r>
    </w:p>
    <w:p w14:paraId="24149E55" w14:textId="0C01BF88" w:rsidR="00756806" w:rsidRPr="00756806" w:rsidRDefault="00756806" w:rsidP="00756806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2"/>
          <w:szCs w:val="22"/>
        </w:rPr>
      </w:pPr>
      <w:bookmarkStart w:id="5" w:name="article1.body1.sec6.sec3.sec4.p3"/>
      <w:bookmarkEnd w:id="5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Report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eligibility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criteria are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likely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include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language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publication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publication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status (e.g.,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inclusion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unpublished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material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abstracts),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and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year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publication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Inclusion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or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not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of non-English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language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literature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 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unpublished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data, or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older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data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can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influence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effect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estimates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r w:rsidRPr="00756806">
        <w:rPr>
          <w:rFonts w:asciiTheme="minorHAnsi" w:hAnsiTheme="minorHAnsi" w:cs="Arial"/>
          <w:color w:val="333333"/>
          <w:sz w:val="22"/>
          <w:szCs w:val="22"/>
        </w:rPr>
        <w:lastRenderedPageBreak/>
        <w:t xml:space="preserve">meta-analyses.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Caution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may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need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be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exercised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including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all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identified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studies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due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to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potential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differences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in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the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risk of bias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such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as,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for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example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,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selective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proofErr w:type="spellStart"/>
      <w:r w:rsidRPr="00756806">
        <w:rPr>
          <w:rFonts w:asciiTheme="minorHAnsi" w:hAnsiTheme="minorHAnsi" w:cs="Arial"/>
          <w:color w:val="333333"/>
          <w:sz w:val="22"/>
          <w:szCs w:val="22"/>
        </w:rPr>
        <w:t>reporting</w:t>
      </w:r>
      <w:proofErr w:type="spellEnd"/>
      <w:r w:rsidRPr="00756806">
        <w:rPr>
          <w:rFonts w:asciiTheme="minorHAnsi" w:hAnsiTheme="minorHAnsi" w:cs="Arial"/>
          <w:color w:val="333333"/>
          <w:sz w:val="22"/>
          <w:szCs w:val="22"/>
        </w:rPr>
        <w:t xml:space="preserve"> in abstracts </w:t>
      </w:r>
      <w:bookmarkStart w:id="6" w:name="_GoBack"/>
      <w:bookmarkEnd w:id="6"/>
      <w:r w:rsidRPr="00756806">
        <w:rPr>
          <w:rFonts w:asciiTheme="minorHAnsi" w:hAnsiTheme="minorHAnsi" w:cs="Arial"/>
          <w:color w:val="333333"/>
          <w:sz w:val="22"/>
          <w:szCs w:val="22"/>
        </w:rPr>
        <w:t>.</w:t>
      </w:r>
    </w:p>
    <w:p w14:paraId="142D4E50" w14:textId="77777777" w:rsidR="00C058DB" w:rsidRDefault="00C058DB"/>
    <w:sectPr w:rsidR="00C05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B2"/>
    <w:rsid w:val="001F3761"/>
    <w:rsid w:val="002C3FB2"/>
    <w:rsid w:val="00566D43"/>
    <w:rsid w:val="00756806"/>
    <w:rsid w:val="00C0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F6D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68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6806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75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756806"/>
    <w:rPr>
      <w:b/>
      <w:bCs/>
    </w:rPr>
  </w:style>
  <w:style w:type="character" w:styleId="Emphasis">
    <w:name w:val="Emphasis"/>
    <w:basedOn w:val="DefaultParagraphFont"/>
    <w:uiPriority w:val="20"/>
    <w:qFormat/>
    <w:rsid w:val="007568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68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68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6806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75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Strong">
    <w:name w:val="Strong"/>
    <w:basedOn w:val="DefaultParagraphFont"/>
    <w:uiPriority w:val="22"/>
    <w:qFormat/>
    <w:rsid w:val="00756806"/>
    <w:rPr>
      <w:b/>
      <w:bCs/>
    </w:rPr>
  </w:style>
  <w:style w:type="character" w:styleId="Emphasis">
    <w:name w:val="Emphasis"/>
    <w:basedOn w:val="DefaultParagraphFont"/>
    <w:uiPriority w:val="20"/>
    <w:qFormat/>
    <w:rsid w:val="007568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6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8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2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ournals.plos.org/plosmedicine/article?id=10.1371/journal.pmed.10001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608</Words>
  <Characters>3348</Characters>
  <Application>Microsoft Office Word</Application>
  <DocSecurity>0</DocSecurity>
  <Lines>27</Lines>
  <Paragraphs>7</Paragraphs>
  <ScaleCrop>false</ScaleCrop>
  <Company>UGent</Company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4</cp:revision>
  <dcterms:created xsi:type="dcterms:W3CDTF">2017-11-24T09:15:00Z</dcterms:created>
  <dcterms:modified xsi:type="dcterms:W3CDTF">2018-03-07T14:56:00Z</dcterms:modified>
</cp:coreProperties>
</file>