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4A" w:rsidRPr="002D424A" w:rsidRDefault="002D424A" w:rsidP="002D424A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r w:rsidRPr="002D424A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Item 12: RISK OF BIAS IN INDIVIDUAL STUDIES.</w:t>
      </w:r>
    </w:p>
    <w:p w:rsidR="002D424A" w:rsidRPr="002D424A" w:rsidRDefault="002D424A" w:rsidP="002D424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0" w:name="article1.body1.sec6.sec3.sec15.p1"/>
      <w:bookmarkEnd w:id="0"/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assessing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risk of bias in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individual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 (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specification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was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done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level, or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both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),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information is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data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synthesis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2D424A" w:rsidRPr="002D424A" w:rsidRDefault="002D424A" w:rsidP="002D424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proofErr w:type="spellStart"/>
      <w:r w:rsidRPr="002D424A">
        <w:rPr>
          <w:rStyle w:val="Strong"/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2D424A">
        <w:rPr>
          <w:rStyle w:val="Strong"/>
          <w:rFonts w:asciiTheme="minorHAnsi" w:hAnsiTheme="minorHAnsi" w:cs="Arial"/>
          <w:color w:val="333333"/>
          <w:sz w:val="22"/>
          <w:szCs w:val="22"/>
        </w:rPr>
        <w:t>.</w:t>
      </w:r>
      <w:r w:rsidRPr="002D424A">
        <w:rPr>
          <w:rFonts w:asciiTheme="minorHAnsi" w:hAnsiTheme="minorHAnsi" w:cs="Arial"/>
          <w:color w:val="333333"/>
          <w:sz w:val="22"/>
          <w:szCs w:val="22"/>
        </w:rPr>
        <w:t> “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ascertain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validity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eligible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randomized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trials, pairs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working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independently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adequate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reliability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determined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adequacy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randomization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concealment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allocation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blinding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patients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health care providers, data collectors,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assessors;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extent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loss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follow-up (i.e.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proportion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patients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whom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investigators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able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ascertain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>).” </w:t>
      </w:r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:rsidR="002D424A" w:rsidRPr="002D424A" w:rsidRDefault="002D424A" w:rsidP="002D424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1" w:name="article1.body1.sec6.sec3.sec15.disp-quot"/>
      <w:bookmarkEnd w:id="1"/>
      <w:r w:rsidRPr="002D424A">
        <w:rPr>
          <w:rFonts w:asciiTheme="minorHAnsi" w:hAnsiTheme="minorHAnsi" w:cs="Arial"/>
          <w:color w:val="333333"/>
          <w:sz w:val="22"/>
          <w:szCs w:val="22"/>
        </w:rPr>
        <w:t>“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explore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variability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results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heterogeneity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) we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specified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following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hypotheses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before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conducting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analysis. We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hypothesised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effect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size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differ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according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methodological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quality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studies.” </w:t>
      </w:r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:rsidR="002D424A" w:rsidRPr="002D424A" w:rsidRDefault="002D424A" w:rsidP="002D424A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2" w:name="s6c16"/>
      <w:bookmarkEnd w:id="2"/>
      <w:proofErr w:type="spellStart"/>
      <w:r w:rsidRPr="002D424A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Explanation</w:t>
      </w:r>
      <w:proofErr w:type="spellEnd"/>
      <w:r w:rsidRPr="002D424A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.</w:t>
      </w:r>
    </w:p>
    <w:p w:rsidR="002D424A" w:rsidRPr="002D424A" w:rsidRDefault="002D424A" w:rsidP="002D424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3" w:name="article1.body1.sec6.sec3.sec16.p1"/>
      <w:bookmarkEnd w:id="3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The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likelihood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treatment effect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reported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 a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approximates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truth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depends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validity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studies, as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certain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methodological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characteristics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associated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effect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sizes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> </w:t>
      </w:r>
      <w:r w:rsidRPr="002D424A">
        <w:rPr>
          <w:rFonts w:asciiTheme="minorHAnsi" w:hAnsiTheme="minorHAnsi" w:cs="Arial"/>
          <w:color w:val="333333"/>
          <w:sz w:val="22"/>
          <w:szCs w:val="22"/>
        </w:rPr>
        <w:t>.</w:t>
      </w:r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For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trials without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reported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adequate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allocation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concealment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exaggerate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treatment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average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compared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adequate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concealment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Therefore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is important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gauge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risk of bias in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information was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Additionally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provide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 rationale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no assessment of risk of bias was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undertaken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. The most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popular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term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issues relevant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item is “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quality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,” but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reasons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elaborated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 </w:t>
      </w:r>
      <w:hyperlink r:id="rId5" w:anchor="pmed-1000100-box004" w:history="1">
        <w:r w:rsidRPr="002D424A">
          <w:rPr>
            <w:rStyle w:val="Hyperlink"/>
            <w:rFonts w:asciiTheme="minorHAnsi" w:hAnsiTheme="minorHAnsi" w:cs="Arial"/>
            <w:color w:val="3C63AF"/>
            <w:sz w:val="22"/>
            <w:szCs w:val="22"/>
            <w:u w:val="none"/>
          </w:rPr>
          <w:t>Box 4</w:t>
        </w:r>
      </w:hyperlink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we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prefer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name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item as “assessment of risk of bias.”</w:t>
      </w:r>
    </w:p>
    <w:p w:rsidR="002D424A" w:rsidRPr="002D424A" w:rsidRDefault="002D424A" w:rsidP="002D424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Many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exist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assess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overall risk of bias in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scales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checklists,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individual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components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. As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discussed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 </w:t>
      </w:r>
      <w:hyperlink r:id="rId6" w:anchor="pmed-1000100-box004" w:history="1">
        <w:r w:rsidRPr="002D424A">
          <w:rPr>
            <w:rStyle w:val="Hyperlink"/>
            <w:rFonts w:asciiTheme="minorHAnsi" w:hAnsiTheme="minorHAnsi" w:cs="Arial"/>
            <w:color w:val="3C63AF"/>
            <w:sz w:val="22"/>
            <w:szCs w:val="22"/>
          </w:rPr>
          <w:t>Box 4</w:t>
        </w:r>
      </w:hyperlink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scales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numerically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summarize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multiple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components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 single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number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misleading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unhelpful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Rather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specify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methodological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components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assessed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. Common markers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validity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randomized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trials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following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: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appropriate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generation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random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allocation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sequence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;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concealment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allocation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sequence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;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blinding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participants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health care providers, data collectors,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adjudicators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;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proportion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patients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lost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follow-up ; stopping of trials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early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benefit ;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analysis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followed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intention-to-treat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principle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. The ultimate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decision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regarding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which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methodological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features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evaluate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requires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consideration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strength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empiric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data,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theoretical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rationale,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unique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circumstances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studies.</w:t>
      </w:r>
    </w:p>
    <w:p w:rsidR="002D424A" w:rsidRPr="002D424A" w:rsidRDefault="002D424A" w:rsidP="002D424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4" w:name="article1.body1.sec6.sec3.sec16.p3"/>
      <w:bookmarkEnd w:id="4"/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assessed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risk of bias;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was in a blind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manner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;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assessments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completed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by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more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one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person,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completed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independently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 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Similarly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we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encourage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calibration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exercises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among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review team members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done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Finally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need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assessments of risk of bias are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subsequently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data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synthesis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Item 16).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Despite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often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difficult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task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assessing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risk of bias in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sometimes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silent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what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did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resultant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assessments 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exclude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review or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subsequent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analyses on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basis of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risk of bias,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tell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which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excluded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explain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reasons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exclusions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Item 6).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also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planned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sensitivity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subgroup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analyses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related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bias assessments (</w:t>
      </w:r>
      <w:proofErr w:type="spellStart"/>
      <w:r w:rsidRPr="002D424A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2D424A">
        <w:rPr>
          <w:rFonts w:asciiTheme="minorHAnsi" w:hAnsiTheme="minorHAnsi" w:cs="Arial"/>
          <w:color w:val="333333"/>
          <w:sz w:val="22"/>
          <w:szCs w:val="22"/>
        </w:rPr>
        <w:t xml:space="preserve"> Item 16).</w:t>
      </w:r>
    </w:p>
    <w:p w:rsidR="00C058DB" w:rsidRDefault="00C058DB">
      <w:bookmarkStart w:id="5" w:name="_GoBack"/>
      <w:bookmarkEnd w:id="5"/>
    </w:p>
    <w:sectPr w:rsidR="00C05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83"/>
    <w:rsid w:val="002D424A"/>
    <w:rsid w:val="00A12383"/>
    <w:rsid w:val="00C058DB"/>
    <w:rsid w:val="00D9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42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424A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2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2D42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42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42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424A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2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2D42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4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0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ournals.plos.org/plosmedicine/article?id=10.1371/journal.pmed.1000100" TargetMode="External"/><Relationship Id="rId5" Type="http://schemas.openxmlformats.org/officeDocument/2006/relationships/hyperlink" Target="http://journals.plos.org/plosmedicine/article?id=10.1371/journal.pmed.1000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601</Words>
  <Characters>3308</Characters>
  <Application>Microsoft Office Word</Application>
  <DocSecurity>0</DocSecurity>
  <Lines>27</Lines>
  <Paragraphs>7</Paragraphs>
  <ScaleCrop>false</ScaleCrop>
  <Company>UGent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3</cp:revision>
  <dcterms:created xsi:type="dcterms:W3CDTF">2017-11-24T09:15:00Z</dcterms:created>
  <dcterms:modified xsi:type="dcterms:W3CDTF">2018-03-07T15:06:00Z</dcterms:modified>
</cp:coreProperties>
</file>