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BA819" w14:textId="77777777" w:rsidR="00762BC2" w:rsidRPr="00762BC2" w:rsidRDefault="00762BC2" w:rsidP="00762BC2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r w:rsidRPr="00762BC2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 xml:space="preserve">Item 13: SUMMARY </w:t>
      </w:r>
      <w:bookmarkStart w:id="0" w:name="_GoBack"/>
      <w:bookmarkEnd w:id="0"/>
      <w:r w:rsidRPr="00762BC2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MEASURES.</w:t>
      </w:r>
    </w:p>
    <w:p w14:paraId="260C8367" w14:textId="77777777" w:rsidR="00762BC2" w:rsidRPr="00762BC2" w:rsidRDefault="00762BC2" w:rsidP="00762BC2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1" w:name="article1.body1.sec6.sec3.sec17.p1"/>
      <w:bookmarkEnd w:id="1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State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principal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summary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(e.g., risk ratio,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difference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means).</w:t>
      </w:r>
    </w:p>
    <w:p w14:paraId="4919C25C" w14:textId="7A10AE51" w:rsidR="00762BC2" w:rsidRPr="00762BC2" w:rsidRDefault="00762BC2" w:rsidP="00762BC2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 w:rsidRPr="00762BC2">
        <w:rPr>
          <w:rStyle w:val="Strong"/>
          <w:rFonts w:asciiTheme="minorHAnsi" w:hAnsiTheme="minorHAnsi" w:cs="Arial"/>
          <w:color w:val="333333"/>
          <w:sz w:val="22"/>
          <w:szCs w:val="22"/>
        </w:rPr>
        <w:t>Examples</w:t>
      </w:r>
      <w:proofErr w:type="spellEnd"/>
      <w:r w:rsidRPr="00762BC2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762BC2">
        <w:rPr>
          <w:rFonts w:asciiTheme="minorHAnsi" w:hAnsiTheme="minorHAnsi" w:cs="Arial"/>
          <w:color w:val="333333"/>
          <w:sz w:val="22"/>
          <w:szCs w:val="22"/>
        </w:rPr>
        <w:t> “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Relative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risk of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mortality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reduction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was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of treatment effect.”</w:t>
      </w:r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14:paraId="7C42293F" w14:textId="204635DC" w:rsidR="00762BC2" w:rsidRPr="00762BC2" w:rsidRDefault="00762BC2" w:rsidP="00762BC2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“The meta-analyses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performed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by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computing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relative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risks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RRs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using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random-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model.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Quantitative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analyses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performed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on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intention-to-treat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basis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confined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data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derived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period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of follow-up. RR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95%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confidence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intervals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each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side effect (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side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calculated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>.”</w:t>
      </w:r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14:paraId="11355053" w14:textId="6CFC59DA" w:rsidR="00762BC2" w:rsidRPr="00762BC2" w:rsidRDefault="00762BC2" w:rsidP="00762BC2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2" w:name="article1.body1.sec6.sec3.sec17.disp-quot"/>
      <w:bookmarkEnd w:id="2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“The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was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difference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log</w:t>
      </w:r>
      <w:r w:rsidRPr="00762BC2">
        <w:rPr>
          <w:rFonts w:asciiTheme="minorHAnsi" w:hAnsiTheme="minorHAnsi" w:cs="Arial"/>
          <w:color w:val="333333"/>
          <w:sz w:val="22"/>
          <w:szCs w:val="22"/>
          <w:vertAlign w:val="subscript"/>
        </w:rPr>
        <w:t>10</w:t>
      </w:r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 HIV-1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viral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load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comparing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zinc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supplementation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placebo…” </w:t>
      </w:r>
    </w:p>
    <w:p w14:paraId="45572BFC" w14:textId="77777777" w:rsidR="00762BC2" w:rsidRPr="00762BC2" w:rsidRDefault="00762BC2" w:rsidP="00762BC2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3" w:name="s6c18"/>
      <w:bookmarkEnd w:id="3"/>
      <w:proofErr w:type="spellStart"/>
      <w:r w:rsidRPr="00762BC2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762BC2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14:paraId="3C3F465A" w14:textId="77777777" w:rsidR="00762BC2" w:rsidRPr="00762BC2" w:rsidRDefault="00762BC2" w:rsidP="00762BC2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4" w:name="article1.body1.sec6.sec3.sec18.p1"/>
      <w:bookmarkEnd w:id="4"/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planning a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review,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generally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desirable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pre-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specify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interest (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Item 5) as well as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intended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summary effect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each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. The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chosen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summary effect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differ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some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studies.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possible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choice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of effect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explained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though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always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easy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judge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advance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which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most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appropriate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>.</w:t>
      </w:r>
    </w:p>
    <w:p w14:paraId="627AC26F" w14:textId="12BB943A" w:rsidR="00762BC2" w:rsidRPr="00762BC2" w:rsidRDefault="00762BC2" w:rsidP="00762BC2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5" w:name="article1.body1.sec6.sec3.sec18.p2"/>
      <w:bookmarkEnd w:id="5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For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binary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most common summary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risk ratio,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odds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ratio,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risk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difference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 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Relative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are more consistent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across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than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absolute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although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absolute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differences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are important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interpreting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findings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Item 24).</w:t>
      </w:r>
    </w:p>
    <w:p w14:paraId="1A821111" w14:textId="3DBA43FA" w:rsidR="00762BC2" w:rsidRPr="00762BC2" w:rsidRDefault="00762BC2" w:rsidP="00762BC2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6" w:name="article1.body1.sec6.sec3.sec18.p3"/>
      <w:bookmarkEnd w:id="6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For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continuous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natural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effect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difference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means.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Its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use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appropriate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measurements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studies are made on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same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scale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. The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standardized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difference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means 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studies do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yield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directly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comparable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data.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Usually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occurs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assess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same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but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a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variety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ways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(e.g., different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scales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depression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>).</w:t>
      </w:r>
    </w:p>
    <w:p w14:paraId="0AD56C81" w14:textId="7F379ADE" w:rsidR="00762BC2" w:rsidRDefault="00762BC2" w:rsidP="00762BC2">
      <w:pPr>
        <w:pStyle w:val="NormalWeb"/>
        <w:shd w:val="clear" w:color="auto" w:fill="FFFFFF"/>
        <w:rPr>
          <w:rFonts w:ascii="inherit" w:hAnsi="inherit" w:cs="Arial"/>
          <w:color w:val="333333"/>
        </w:rPr>
      </w:pPr>
      <w:bookmarkStart w:id="7" w:name="article1.body1.sec6.sec3.sec18.p4"/>
      <w:bookmarkEnd w:id="7"/>
      <w:r w:rsidRPr="00762BC2">
        <w:rPr>
          <w:rFonts w:asciiTheme="minorHAnsi" w:hAnsiTheme="minorHAnsi" w:cs="Arial"/>
          <w:color w:val="333333"/>
          <w:sz w:val="22"/>
          <w:szCs w:val="22"/>
        </w:rPr>
        <w:t>For time-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-event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hazard ratio 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most common summary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need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log hazard ratio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its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standard error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a meta-analysis </w:t>
      </w:r>
      <w:hyperlink r:id="rId5" w:anchor="pmed.1000100-Tierney1" w:history="1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information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given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studies, but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available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estimating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desired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quantities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other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reported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information. Risk ratio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odds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ratio (in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relation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events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occurring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by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fixed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time) are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equivalent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hazard ratio,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median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survival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times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reliable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basis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meta-analysis.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have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these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762BC2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62BC2">
        <w:rPr>
          <w:rFonts w:asciiTheme="minorHAnsi" w:hAnsiTheme="minorHAnsi" w:cs="Arial"/>
          <w:color w:val="333333"/>
          <w:sz w:val="22"/>
          <w:szCs w:val="22"/>
        </w:rPr>
        <w:t xml:space="preserve"> report.</w:t>
      </w:r>
    </w:p>
    <w:p w14:paraId="3CB59630" w14:textId="77777777" w:rsidR="00C058DB" w:rsidRPr="00A54A9E" w:rsidRDefault="00C058DB">
      <w:pPr>
        <w:rPr>
          <w:lang w:val="en-US"/>
        </w:rPr>
      </w:pPr>
    </w:p>
    <w:sectPr w:rsidR="00C058DB" w:rsidRPr="00A54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E7"/>
    <w:rsid w:val="00762BC2"/>
    <w:rsid w:val="008469E7"/>
    <w:rsid w:val="00A47362"/>
    <w:rsid w:val="00A54A9E"/>
    <w:rsid w:val="00C058DB"/>
    <w:rsid w:val="00F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C84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2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2BC2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76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762B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2B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2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2BC2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76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762B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2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urnals.plos.org/plosmedicine/article?id=10.1371/journal.pmed.1000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</Words>
  <Characters>2131</Characters>
  <Application>Microsoft Office Word</Application>
  <DocSecurity>0</DocSecurity>
  <Lines>17</Lines>
  <Paragraphs>5</Paragraphs>
  <ScaleCrop>false</ScaleCrop>
  <Company>UGent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5</cp:revision>
  <dcterms:created xsi:type="dcterms:W3CDTF">2017-11-24T09:15:00Z</dcterms:created>
  <dcterms:modified xsi:type="dcterms:W3CDTF">2018-03-07T15:07:00Z</dcterms:modified>
</cp:coreProperties>
</file>