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C1F27" w14:textId="77777777" w:rsidR="00B94D4B" w:rsidRPr="00E042D9" w:rsidRDefault="00B94D4B" w:rsidP="00B94D4B">
      <w:pPr>
        <w:autoSpaceDE w:val="0"/>
        <w:autoSpaceDN w:val="0"/>
        <w:adjustRightInd w:val="0"/>
        <w:spacing w:after="0" w:line="240" w:lineRule="auto"/>
        <w:rPr>
          <w:rFonts w:cs="AdvMinSBd-It"/>
          <w:lang w:val="en-US"/>
        </w:rPr>
      </w:pPr>
      <w:r w:rsidRPr="00E042D9">
        <w:rPr>
          <w:rFonts w:cs="AdvMinSBd-It"/>
          <w:lang w:val="en-US"/>
        </w:rPr>
        <w:t>Nut-8.4. Data sources and measurements: when using nutritional biomarkers, additionally use the STROBEME; report the type of biomarkers used and usefulness as dietary exposure markers.</w:t>
      </w:r>
    </w:p>
    <w:p w14:paraId="12FFE376" w14:textId="77777777" w:rsidR="00B94D4B" w:rsidRPr="00E042D9" w:rsidRDefault="00B94D4B" w:rsidP="00B94D4B">
      <w:pPr>
        <w:autoSpaceDE w:val="0"/>
        <w:autoSpaceDN w:val="0"/>
        <w:adjustRightInd w:val="0"/>
        <w:spacing w:after="0" w:line="240" w:lineRule="auto"/>
        <w:rPr>
          <w:rFonts w:cs="AdvOT1ef757c0"/>
          <w:color w:val="000000"/>
          <w:lang w:val="en-US"/>
        </w:rPr>
      </w:pPr>
      <w:bookmarkStart w:id="0" w:name="_GoBack"/>
      <w:bookmarkEnd w:id="0"/>
    </w:p>
    <w:p w14:paraId="7DC5DAFD" w14:textId="77777777" w:rsidR="00B94D4B" w:rsidRPr="00E042D9" w:rsidRDefault="00B94D4B" w:rsidP="00B94D4B">
      <w:pPr>
        <w:autoSpaceDE w:val="0"/>
        <w:autoSpaceDN w:val="0"/>
        <w:adjustRightInd w:val="0"/>
        <w:spacing w:after="0" w:line="240" w:lineRule="auto"/>
        <w:rPr>
          <w:rFonts w:cs="AdvOT77db9845"/>
          <w:lang w:val="en-US"/>
        </w:rPr>
      </w:pPr>
      <w:r w:rsidRPr="00E042D9">
        <w:rPr>
          <w:rFonts w:cs="AdvOTce3d9a73"/>
          <w:lang w:val="en-US"/>
        </w:rPr>
        <w:t xml:space="preserve">Example 1. </w:t>
      </w:r>
      <w:r w:rsidRPr="00E042D9">
        <w:rPr>
          <w:rFonts w:cs="AdvOT77db9845+20"/>
          <w:lang w:val="en-US"/>
        </w:rPr>
        <w:t>“</w:t>
      </w:r>
      <w:r w:rsidRPr="00E042D9">
        <w:rPr>
          <w:rFonts w:cs="AdvOT77db9845"/>
          <w:lang w:val="en-US"/>
        </w:rPr>
        <w:t xml:space="preserve">Urinary sugars, in particular sucrose and fructose, have been investigated and developed as dietary biomarkers of total sugar intake. If 24-h urine collections are available, sucrose and fructose measured in 24-h urine can be used as predictive biomarkers of total sugar </w:t>
      </w:r>
      <w:proofErr w:type="spellStart"/>
      <w:r w:rsidRPr="00E042D9">
        <w:rPr>
          <w:rFonts w:cs="AdvOT77db9845"/>
          <w:lang w:val="en-US"/>
        </w:rPr>
        <w:t>intake.We</w:t>
      </w:r>
      <w:proofErr w:type="spellEnd"/>
      <w:r w:rsidRPr="00E042D9">
        <w:rPr>
          <w:rFonts w:cs="AdvOT77db9845"/>
          <w:lang w:val="en-US"/>
        </w:rPr>
        <w:t xml:space="preserve"> prospectively investigated the association between sucrose intake and risk of overweight and obesity in a sample of the EPIC (European Investigation into Cancer and Nutrition)-Norfolk cohort study by using urinary sugar biomarkers and self-reported dietary data. Self-reported sucrose intake was significantly positively associated with the biomarker. Associations between</w:t>
      </w:r>
    </w:p>
    <w:p w14:paraId="2A6F13CC" w14:textId="77777777" w:rsidR="00B94D4B" w:rsidRPr="00E042D9" w:rsidRDefault="00B94D4B" w:rsidP="00B94D4B">
      <w:pPr>
        <w:autoSpaceDE w:val="0"/>
        <w:autoSpaceDN w:val="0"/>
        <w:adjustRightInd w:val="0"/>
        <w:spacing w:after="0" w:line="240" w:lineRule="auto"/>
        <w:rPr>
          <w:rFonts w:cs="AdvOT255b5711.I"/>
          <w:lang w:val="en-US"/>
        </w:rPr>
      </w:pPr>
      <w:r w:rsidRPr="00E042D9">
        <w:rPr>
          <w:rFonts w:cs="AdvOT77db9845"/>
          <w:lang w:val="en-US"/>
        </w:rPr>
        <w:t>the biomarker and BMI were positive (</w:t>
      </w:r>
      <w:r w:rsidRPr="00E042D9">
        <w:rPr>
          <w:rFonts w:cs="AdvPS7DA6"/>
          <w:lang w:val="en-US"/>
        </w:rPr>
        <w:t xml:space="preserve">b </w:t>
      </w:r>
      <w:r w:rsidRPr="00E042D9">
        <w:rPr>
          <w:rFonts w:cs="AdvOT77db9845"/>
          <w:lang w:val="en-US"/>
        </w:rPr>
        <w:t>= 0.25; 95% CI: 0.08, 0.43), while they were inverse when using self-reported dietary data (</w:t>
      </w:r>
      <w:r w:rsidRPr="00E042D9">
        <w:rPr>
          <w:rFonts w:cs="AdvPS7DA6"/>
          <w:lang w:val="en-US"/>
        </w:rPr>
        <w:t xml:space="preserve">b </w:t>
      </w:r>
      <w:r w:rsidRPr="00E042D9">
        <w:rPr>
          <w:rFonts w:cs="AdvOT77db9845"/>
          <w:lang w:val="en-US"/>
        </w:rPr>
        <w:t xml:space="preserve">= </w:t>
      </w:r>
      <w:r w:rsidRPr="00E042D9">
        <w:rPr>
          <w:rFonts w:cs="AdvPS586B"/>
          <w:lang w:val="en-US"/>
        </w:rPr>
        <w:t>2</w:t>
      </w:r>
      <w:r w:rsidRPr="00E042D9">
        <w:rPr>
          <w:rFonts w:cs="AdvOT77db9845"/>
          <w:lang w:val="en-US"/>
        </w:rPr>
        <w:t xml:space="preserve">1.40; 95% CI: </w:t>
      </w:r>
      <w:r w:rsidRPr="00E042D9">
        <w:rPr>
          <w:rFonts w:cs="AdvPS586B"/>
          <w:lang w:val="en-US"/>
        </w:rPr>
        <w:t>2</w:t>
      </w:r>
      <w:r w:rsidRPr="00E042D9">
        <w:rPr>
          <w:rFonts w:cs="AdvOT77db9845"/>
          <w:lang w:val="en-US"/>
        </w:rPr>
        <w:t xml:space="preserve">1.81, </w:t>
      </w:r>
      <w:r w:rsidRPr="00E042D9">
        <w:rPr>
          <w:rFonts w:cs="AdvPS586B"/>
          <w:lang w:val="en-US"/>
        </w:rPr>
        <w:t>2</w:t>
      </w:r>
      <w:r w:rsidRPr="00E042D9">
        <w:rPr>
          <w:rFonts w:cs="AdvOT77db9845"/>
          <w:lang w:val="en-US"/>
        </w:rPr>
        <w:t xml:space="preserve">0.99). The age and sex-adjusted OR for BMI (kg/m2 </w:t>
      </w:r>
      <w:r w:rsidR="009A7E6B" w:rsidRPr="00E042D9">
        <w:rPr>
          <w:rFonts w:cs="AdvOT77db9845"/>
          <w:lang w:val="en-US"/>
        </w:rPr>
        <w:t xml:space="preserve">) &gt;25.0 in participants </w:t>
      </w:r>
      <w:r w:rsidRPr="00E042D9">
        <w:rPr>
          <w:rFonts w:cs="AdvOT77db9845"/>
          <w:lang w:val="en-US"/>
        </w:rPr>
        <w:t>in the fifth compared with the f</w:t>
      </w:r>
      <w:r w:rsidR="009A7E6B" w:rsidRPr="00E042D9">
        <w:rPr>
          <w:rFonts w:cs="AdvOT77db9845"/>
          <w:lang w:val="en-US"/>
        </w:rPr>
        <w:t>irst quintile was 1.54 (95% CI:</w:t>
      </w:r>
      <w:r w:rsidRPr="00E042D9">
        <w:rPr>
          <w:rFonts w:cs="AdvOT77db9845"/>
          <w:lang w:val="en-US"/>
        </w:rPr>
        <w:t xml:space="preserve">1.12, 2.12; </w:t>
      </w:r>
      <w:r w:rsidRPr="00E042D9">
        <w:rPr>
          <w:rFonts w:cs="AdvOT255b5711.I"/>
          <w:lang w:val="en-US"/>
        </w:rPr>
        <w:t>P</w:t>
      </w:r>
      <w:r w:rsidRPr="00E042D9">
        <w:rPr>
          <w:rFonts w:cs="AdvOT77db9845"/>
          <w:lang w:val="en-US"/>
        </w:rPr>
        <w:t>-trend = 0.003) when using the b</w:t>
      </w:r>
      <w:r w:rsidR="009A7E6B" w:rsidRPr="00E042D9">
        <w:rPr>
          <w:rFonts w:cs="AdvOT77db9845"/>
          <w:lang w:val="en-US"/>
        </w:rPr>
        <w:t xml:space="preserve">iomarker and </w:t>
      </w:r>
      <w:r w:rsidRPr="00E042D9">
        <w:rPr>
          <w:rFonts w:cs="AdvOT77db9845"/>
          <w:lang w:val="en-US"/>
        </w:rPr>
        <w:t xml:space="preserve">0.56 (95% CI: 0.40, 0.77; </w:t>
      </w:r>
      <w:r w:rsidRPr="00E042D9">
        <w:rPr>
          <w:rFonts w:cs="AdvOT255b5711.I"/>
          <w:lang w:val="en-US"/>
        </w:rPr>
        <w:t>P</w:t>
      </w:r>
      <w:r w:rsidRPr="00E042D9">
        <w:rPr>
          <w:rFonts w:cs="AdvOT77db9845"/>
          <w:lang w:val="en-US"/>
        </w:rPr>
        <w:t>-tr</w:t>
      </w:r>
      <w:r w:rsidR="009A7E6B" w:rsidRPr="00E042D9">
        <w:rPr>
          <w:rFonts w:cs="AdvOT77db9845"/>
          <w:lang w:val="en-US"/>
        </w:rPr>
        <w:t xml:space="preserve">end &lt; 0.001) with self-reported </w:t>
      </w:r>
      <w:r w:rsidRPr="00E042D9">
        <w:rPr>
          <w:rFonts w:cs="AdvOT77db9845"/>
          <w:lang w:val="en-US"/>
        </w:rPr>
        <w:t>dietary data. Conclusions: O</w:t>
      </w:r>
      <w:r w:rsidR="009A7E6B" w:rsidRPr="00E042D9">
        <w:rPr>
          <w:rFonts w:cs="AdvOT77db9845"/>
          <w:lang w:val="en-US"/>
        </w:rPr>
        <w:t xml:space="preserve">ur results suggest that sucrose </w:t>
      </w:r>
      <w:r w:rsidRPr="00E042D9">
        <w:rPr>
          <w:rFonts w:cs="AdvOT77db9845"/>
          <w:lang w:val="en-US"/>
        </w:rPr>
        <w:t xml:space="preserve">measured by objective </w:t>
      </w:r>
      <w:r w:rsidR="009A7E6B" w:rsidRPr="00E042D9">
        <w:rPr>
          <w:rFonts w:cs="AdvOT77db9845"/>
          <w:lang w:val="en-US"/>
        </w:rPr>
        <w:t xml:space="preserve">biomarker but not self-reported </w:t>
      </w:r>
      <w:r w:rsidRPr="00E042D9">
        <w:rPr>
          <w:rFonts w:cs="AdvOT77db9845"/>
          <w:lang w:val="en-US"/>
        </w:rPr>
        <w:t>s</w:t>
      </w:r>
      <w:r w:rsidR="009A7E6B" w:rsidRPr="00E042D9">
        <w:rPr>
          <w:rFonts w:cs="AdvOT77db9845"/>
          <w:lang w:val="en-US"/>
        </w:rPr>
        <w:t xml:space="preserve">ucrose intake is </w:t>
      </w:r>
      <w:r w:rsidRPr="00E042D9">
        <w:rPr>
          <w:rFonts w:cs="AdvOT77db9845"/>
          <w:lang w:val="en-US"/>
        </w:rPr>
        <w:t>positively associated with BMI</w:t>
      </w:r>
      <w:r w:rsidRPr="00E042D9">
        <w:rPr>
          <w:rFonts w:cs="AdvOT77db9845+20"/>
          <w:lang w:val="en-US"/>
        </w:rPr>
        <w:t>”</w:t>
      </w:r>
      <w:r w:rsidRPr="00E042D9">
        <w:rPr>
          <w:rFonts w:cs="AdvOT255b5711.I"/>
          <w:lang w:val="en-US"/>
        </w:rPr>
        <w:t>.</w:t>
      </w:r>
    </w:p>
    <w:p w14:paraId="02574491" w14:textId="77777777" w:rsidR="009A7E6B" w:rsidRPr="00E042D9" w:rsidRDefault="009A7E6B" w:rsidP="00B94D4B">
      <w:pPr>
        <w:autoSpaceDE w:val="0"/>
        <w:autoSpaceDN w:val="0"/>
        <w:adjustRightInd w:val="0"/>
        <w:spacing w:after="0" w:line="240" w:lineRule="auto"/>
        <w:rPr>
          <w:rFonts w:cs="AdvOT77db9845"/>
          <w:lang w:val="en-US"/>
        </w:rPr>
      </w:pPr>
    </w:p>
    <w:p w14:paraId="68EE1EC7" w14:textId="77777777" w:rsidR="00B94D4B" w:rsidRPr="00E042D9" w:rsidRDefault="00B94D4B" w:rsidP="00B94D4B">
      <w:pPr>
        <w:autoSpaceDE w:val="0"/>
        <w:autoSpaceDN w:val="0"/>
        <w:adjustRightInd w:val="0"/>
        <w:spacing w:after="0" w:line="240" w:lineRule="auto"/>
        <w:rPr>
          <w:rFonts w:cs="AdvOT77db9845"/>
          <w:lang w:val="en-US"/>
        </w:rPr>
      </w:pPr>
      <w:r w:rsidRPr="00E042D9">
        <w:rPr>
          <w:rFonts w:cs="AdvOTce3d9a73"/>
          <w:lang w:val="en-US"/>
        </w:rPr>
        <w:t xml:space="preserve">Explanation. </w:t>
      </w:r>
      <w:r w:rsidRPr="00E042D9">
        <w:rPr>
          <w:rFonts w:cs="AdvOT77db9845"/>
          <w:lang w:val="en-US"/>
        </w:rPr>
        <w:t xml:space="preserve">Biological markers </w:t>
      </w:r>
      <w:r w:rsidR="009A7E6B" w:rsidRPr="00E042D9">
        <w:rPr>
          <w:rFonts w:cs="AdvOT77db9845"/>
          <w:lang w:val="en-US"/>
        </w:rPr>
        <w:t xml:space="preserve">of dietary intakes (nutritional </w:t>
      </w:r>
      <w:r w:rsidRPr="00E042D9">
        <w:rPr>
          <w:rFonts w:cs="AdvOT77db9845"/>
          <w:lang w:val="en-US"/>
        </w:rPr>
        <w:t>biomarkers) are object</w:t>
      </w:r>
      <w:r w:rsidR="009A7E6B" w:rsidRPr="00E042D9">
        <w:rPr>
          <w:rFonts w:cs="AdvOT77db9845"/>
          <w:lang w:val="en-US"/>
        </w:rPr>
        <w:t xml:space="preserve">ive measures that are useful in </w:t>
      </w:r>
      <w:r w:rsidRPr="00E042D9">
        <w:rPr>
          <w:rFonts w:cs="AdvOT77db9845"/>
          <w:lang w:val="en-US"/>
        </w:rPr>
        <w:t>the validation of diet assess</w:t>
      </w:r>
      <w:r w:rsidR="009A7E6B" w:rsidRPr="00E042D9">
        <w:rPr>
          <w:rFonts w:cs="AdvOT77db9845"/>
          <w:lang w:val="en-US"/>
        </w:rPr>
        <w:t xml:space="preserve">ment instruments and in studies </w:t>
      </w:r>
      <w:r w:rsidRPr="00E042D9">
        <w:rPr>
          <w:rFonts w:cs="AdvOT77db9845"/>
          <w:lang w:val="en-US"/>
        </w:rPr>
        <w:t>of diet and disease</w:t>
      </w:r>
      <w:r w:rsidR="009A7E6B" w:rsidRPr="00E042D9">
        <w:rPr>
          <w:rFonts w:cs="AdvOT77db9845"/>
          <w:lang w:val="en-US"/>
        </w:rPr>
        <w:t xml:space="preserve">. The use of nutritional </w:t>
      </w:r>
      <w:r w:rsidRPr="00E042D9">
        <w:rPr>
          <w:rFonts w:cs="AdvOT77db9845"/>
          <w:lang w:val="en-US"/>
        </w:rPr>
        <w:t>biomarkers that re</w:t>
      </w:r>
      <w:r w:rsidRPr="00E042D9">
        <w:rPr>
          <w:rFonts w:cs="AdvOT77db9845+fb"/>
          <w:lang w:val="en-US"/>
        </w:rPr>
        <w:t>fl</w:t>
      </w:r>
      <w:r w:rsidR="009A7E6B" w:rsidRPr="00E042D9">
        <w:rPr>
          <w:rFonts w:cs="AdvOT77db9845"/>
          <w:lang w:val="en-US"/>
        </w:rPr>
        <w:t xml:space="preserve">ect dietary exposures will, in </w:t>
      </w:r>
      <w:r w:rsidRPr="00E042D9">
        <w:rPr>
          <w:rFonts w:cs="AdvOT77db9845"/>
          <w:lang w:val="en-US"/>
        </w:rPr>
        <w:t>combination with self-re</w:t>
      </w:r>
      <w:r w:rsidR="009A7E6B" w:rsidRPr="00E042D9">
        <w:rPr>
          <w:rFonts w:cs="AdvOT77db9845"/>
          <w:lang w:val="en-US"/>
        </w:rPr>
        <w:t xml:space="preserve">ported dietary data, strengthen </w:t>
      </w:r>
      <w:r w:rsidRPr="00E042D9">
        <w:rPr>
          <w:rFonts w:cs="AdvOT77db9845"/>
          <w:lang w:val="en-US"/>
        </w:rPr>
        <w:t>the examination of diet-disease associations</w:t>
      </w:r>
      <w:r w:rsidR="009A7E6B" w:rsidRPr="00E042D9">
        <w:rPr>
          <w:rFonts w:cs="AdvOT77db9845"/>
          <w:lang w:val="en-US"/>
        </w:rPr>
        <w:t xml:space="preserve">. </w:t>
      </w:r>
      <w:r w:rsidRPr="00E042D9">
        <w:rPr>
          <w:rFonts w:cs="AdvOT77db9845"/>
          <w:lang w:val="en-US"/>
        </w:rPr>
        <w:t>The STROBE-ME provides gene</w:t>
      </w:r>
      <w:r w:rsidR="009A7E6B" w:rsidRPr="00E042D9">
        <w:rPr>
          <w:rFonts w:cs="AdvOT77db9845"/>
          <w:lang w:val="en-US"/>
        </w:rPr>
        <w:t xml:space="preserve">ral guidelines on the reporting </w:t>
      </w:r>
      <w:r w:rsidRPr="00E042D9">
        <w:rPr>
          <w:rFonts w:cs="AdvOT77db9845"/>
          <w:lang w:val="en-US"/>
        </w:rPr>
        <w:t>in studies that use biomarkers (i.e., not only nutrition</w:t>
      </w:r>
      <w:r w:rsidR="009A7E6B" w:rsidRPr="00E042D9">
        <w:rPr>
          <w:rFonts w:cs="AdvOT77db9845"/>
          <w:lang w:val="en-US"/>
        </w:rPr>
        <w:t xml:space="preserve">al </w:t>
      </w:r>
      <w:r w:rsidRPr="00E042D9">
        <w:rPr>
          <w:rFonts w:cs="AdvOT77db9845"/>
          <w:lang w:val="en-US"/>
        </w:rPr>
        <w:t>biomarkers).</w:t>
      </w:r>
      <w:r w:rsidR="009A7E6B" w:rsidRPr="00E042D9">
        <w:rPr>
          <w:rFonts w:cs="AdvOT77db9845"/>
          <w:lang w:val="en-US"/>
        </w:rPr>
        <w:t xml:space="preserve"> Because the type of biological </w:t>
      </w:r>
      <w:r w:rsidRPr="00E042D9">
        <w:rPr>
          <w:rFonts w:cs="AdvOT77db9845"/>
          <w:lang w:val="en-US"/>
        </w:rPr>
        <w:t>material, sampling method</w:t>
      </w:r>
      <w:r w:rsidR="009A7E6B" w:rsidRPr="00E042D9">
        <w:rPr>
          <w:rFonts w:cs="AdvOT77db9845"/>
          <w:lang w:val="en-US"/>
        </w:rPr>
        <w:t xml:space="preserve">, and choice of analytic method </w:t>
      </w:r>
      <w:r w:rsidRPr="00E042D9">
        <w:rPr>
          <w:rFonts w:cs="AdvOT77db9845"/>
          <w:lang w:val="en-US"/>
        </w:rPr>
        <w:t>in</w:t>
      </w:r>
      <w:r w:rsidRPr="00E042D9">
        <w:rPr>
          <w:rFonts w:cs="AdvOT77db9845+fb"/>
          <w:lang w:val="en-US"/>
        </w:rPr>
        <w:t>fl</w:t>
      </w:r>
      <w:r w:rsidRPr="00E042D9">
        <w:rPr>
          <w:rFonts w:cs="AdvOT77db9845"/>
          <w:lang w:val="en-US"/>
        </w:rPr>
        <w:t xml:space="preserve">uence the measured </w:t>
      </w:r>
      <w:r w:rsidR="009A7E6B" w:rsidRPr="00E042D9">
        <w:rPr>
          <w:rFonts w:cs="AdvOT77db9845"/>
          <w:lang w:val="en-US"/>
        </w:rPr>
        <w:t xml:space="preserve">concentration of the biomarker, </w:t>
      </w:r>
      <w:r w:rsidRPr="00E042D9">
        <w:rPr>
          <w:rFonts w:cs="AdvOT77db9845"/>
          <w:lang w:val="en-US"/>
        </w:rPr>
        <w:t>the general guidelines str</w:t>
      </w:r>
      <w:r w:rsidR="009A7E6B" w:rsidRPr="00E042D9">
        <w:rPr>
          <w:rFonts w:cs="AdvOT77db9845"/>
          <w:lang w:val="en-US"/>
        </w:rPr>
        <w:t xml:space="preserve">ess the importance of reporting </w:t>
      </w:r>
      <w:r w:rsidRPr="00E042D9">
        <w:rPr>
          <w:rFonts w:cs="AdvOT77db9845"/>
          <w:lang w:val="en-US"/>
        </w:rPr>
        <w:t>how the samples were collected and handled.</w:t>
      </w:r>
    </w:p>
    <w:p w14:paraId="121FA9AA" w14:textId="77777777" w:rsidR="00B94D4B" w:rsidRPr="00E042D9" w:rsidRDefault="00B94D4B" w:rsidP="009A7E6B">
      <w:pPr>
        <w:autoSpaceDE w:val="0"/>
        <w:autoSpaceDN w:val="0"/>
        <w:adjustRightInd w:val="0"/>
        <w:spacing w:after="0" w:line="240" w:lineRule="auto"/>
        <w:rPr>
          <w:rFonts w:ascii="AdvOT77db9845" w:hAnsi="AdvOT77db9845" w:cs="AdvOT77db9845"/>
          <w:sz w:val="20"/>
          <w:szCs w:val="20"/>
          <w:lang w:val="en-US"/>
        </w:rPr>
      </w:pPr>
      <w:r w:rsidRPr="00E042D9">
        <w:rPr>
          <w:rFonts w:cs="AdvOT77db9845"/>
          <w:lang w:val="en-US"/>
        </w:rPr>
        <w:t>The report needs to indica</w:t>
      </w:r>
      <w:r w:rsidR="009A7E6B" w:rsidRPr="00E042D9">
        <w:rPr>
          <w:rFonts w:cs="AdvOT77db9845"/>
          <w:lang w:val="en-US"/>
        </w:rPr>
        <w:t xml:space="preserve">te if the nutritional biomarker </w:t>
      </w:r>
      <w:r w:rsidRPr="00E042D9">
        <w:rPr>
          <w:rFonts w:cs="AdvOT77db9845"/>
          <w:lang w:val="en-US"/>
        </w:rPr>
        <w:t>is speci</w:t>
      </w:r>
      <w:r w:rsidRPr="00E042D9">
        <w:rPr>
          <w:rFonts w:cs="AdvOT77db9845+fb"/>
          <w:lang w:val="en-US"/>
        </w:rPr>
        <w:t>fi</w:t>
      </w:r>
      <w:r w:rsidRPr="00E042D9">
        <w:rPr>
          <w:rFonts w:cs="AdvOT77db9845"/>
          <w:lang w:val="en-US"/>
        </w:rPr>
        <w:t>c for the dietary exposure, and if it accurately re</w:t>
      </w:r>
      <w:r w:rsidRPr="00E042D9">
        <w:rPr>
          <w:rFonts w:cs="AdvOT77db9845+fb"/>
          <w:lang w:val="en-US"/>
        </w:rPr>
        <w:t>fl</w:t>
      </w:r>
      <w:r w:rsidR="009A7E6B" w:rsidRPr="00E042D9">
        <w:rPr>
          <w:rFonts w:cs="AdvOT77db9845"/>
          <w:lang w:val="en-US"/>
        </w:rPr>
        <w:t xml:space="preserve">ects </w:t>
      </w:r>
      <w:r w:rsidRPr="00E042D9">
        <w:rPr>
          <w:rFonts w:cs="AdvOT77db9845"/>
          <w:lang w:val="en-US"/>
        </w:rPr>
        <w:t xml:space="preserve">the intake. In addition, it is </w:t>
      </w:r>
      <w:r w:rsidR="009A7E6B" w:rsidRPr="00E042D9">
        <w:rPr>
          <w:rFonts w:cs="AdvOT77db9845"/>
          <w:lang w:val="en-US"/>
        </w:rPr>
        <w:t xml:space="preserve">useful to know if the biomarker </w:t>
      </w:r>
      <w:r w:rsidRPr="00E042D9">
        <w:rPr>
          <w:rFonts w:cs="AdvOT77db9845"/>
          <w:lang w:val="en-US"/>
        </w:rPr>
        <w:t>is sensitive to an in</w:t>
      </w:r>
      <w:r w:rsidR="009A7E6B" w:rsidRPr="00E042D9">
        <w:rPr>
          <w:rFonts w:cs="AdvOT77db9845"/>
          <w:lang w:val="en-US"/>
        </w:rPr>
        <w:t xml:space="preserve">crease in dietary intake (i.e., </w:t>
      </w:r>
      <w:r w:rsidRPr="00E042D9">
        <w:rPr>
          <w:rFonts w:cs="AdvOT77db9845"/>
          <w:lang w:val="en-US"/>
        </w:rPr>
        <w:t>shows a dose-response a</w:t>
      </w:r>
      <w:r w:rsidR="009A7E6B" w:rsidRPr="00E042D9">
        <w:rPr>
          <w:rFonts w:cs="AdvOT77db9845"/>
          <w:lang w:val="en-US"/>
        </w:rPr>
        <w:t>ssociation). Readers would also l</w:t>
      </w:r>
      <w:r w:rsidRPr="00E042D9">
        <w:rPr>
          <w:rFonts w:cs="AdvOT77db9845"/>
          <w:lang w:val="en-US"/>
        </w:rPr>
        <w:t>ike to know whether the biomarker re</w:t>
      </w:r>
      <w:r w:rsidRPr="00E042D9">
        <w:rPr>
          <w:rFonts w:cs="AdvOT77db9845+fb"/>
          <w:lang w:val="en-US"/>
        </w:rPr>
        <w:t>fl</w:t>
      </w:r>
      <w:r w:rsidR="009A7E6B" w:rsidRPr="00E042D9">
        <w:rPr>
          <w:rFonts w:cs="AdvOT77db9845"/>
          <w:lang w:val="en-US"/>
        </w:rPr>
        <w:t xml:space="preserve">ects long- or </w:t>
      </w:r>
      <w:proofErr w:type="spellStart"/>
      <w:r w:rsidR="009A7E6B" w:rsidRPr="00E042D9">
        <w:rPr>
          <w:rFonts w:cs="AdvOT77db9845"/>
          <w:lang w:val="en-US"/>
        </w:rPr>
        <w:t>shortter</w:t>
      </w:r>
      <w:proofErr w:type="spellEnd"/>
      <w:r w:rsidR="009A7E6B" w:rsidRPr="00E042D9">
        <w:rPr>
          <w:rFonts w:cs="AdvOT77db9845"/>
          <w:lang w:val="en-US"/>
        </w:rPr>
        <w:t xml:space="preserve"> </w:t>
      </w:r>
      <w:r w:rsidRPr="00E042D9">
        <w:rPr>
          <w:rFonts w:cs="AdvOT77db9845"/>
          <w:lang w:val="en-US"/>
        </w:rPr>
        <w:t>dietary intake (e.g., thr</w:t>
      </w:r>
      <w:r w:rsidR="009A7E6B" w:rsidRPr="00E042D9">
        <w:rPr>
          <w:rFonts w:cs="AdvOT77db9845"/>
          <w:lang w:val="en-US"/>
        </w:rPr>
        <w:t xml:space="preserve">ough reporting the half-life of </w:t>
      </w:r>
      <w:r w:rsidRPr="00E042D9">
        <w:rPr>
          <w:rFonts w:cs="AdvOT77db9845"/>
          <w:lang w:val="en-US"/>
        </w:rPr>
        <w:t>the biomarker) and the degree o</w:t>
      </w:r>
      <w:r w:rsidR="009A7E6B" w:rsidRPr="00E042D9">
        <w:rPr>
          <w:rFonts w:cs="AdvOT77db9845"/>
          <w:lang w:val="en-US"/>
        </w:rPr>
        <w:t xml:space="preserve">f reliability (reproducibility) </w:t>
      </w:r>
      <w:r w:rsidRPr="00E042D9">
        <w:rPr>
          <w:rFonts w:cs="AdvOT77db9845"/>
          <w:lang w:val="en-US"/>
        </w:rPr>
        <w:t>of the biomarker.</w:t>
      </w:r>
    </w:p>
    <w:sectPr w:rsidR="00B94D4B" w:rsidRPr="00E04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MinSBd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1ef757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7db984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7db9845+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255b5711.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7DA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586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77db9845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D"/>
    <w:rsid w:val="004D1AFD"/>
    <w:rsid w:val="009A7E6B"/>
    <w:rsid w:val="00B94D4B"/>
    <w:rsid w:val="00BF4363"/>
    <w:rsid w:val="00C058DB"/>
    <w:rsid w:val="00E0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AFB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412</Words>
  <Characters>2270</Characters>
  <Application>Microsoft Office Word</Application>
  <DocSecurity>0</DocSecurity>
  <Lines>18</Lines>
  <Paragraphs>5</Paragraphs>
  <ScaleCrop>false</ScaleCrop>
  <Company>UGent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Hawwash</dc:creator>
  <cp:keywords/>
  <dc:description/>
  <cp:lastModifiedBy>Dana Hawwash</cp:lastModifiedBy>
  <cp:revision>5</cp:revision>
  <dcterms:created xsi:type="dcterms:W3CDTF">2017-11-24T09:15:00Z</dcterms:created>
  <dcterms:modified xsi:type="dcterms:W3CDTF">2018-03-08T11:33:00Z</dcterms:modified>
</cp:coreProperties>
</file>