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Pergunta 1: O recurso comum para uso de exclusão mútua (semáforos) serve para garantir que o Barbeiro não durma para sempre (deadlocks) ou que 1 barbeiro atenda mais de 1 cliente ao mesmo tempo (race condition).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Pergunta 2: O clientes e os barbeiros irão acessar o recurso comum através de Memória compartilhada, visa-se a implementação de uma fila simples, permitindo atendimento FIFO (First In, First Out -primeiro que chega, primeiro que sai) para que ocorra um sicronismo entre origem e destino.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Pergunta 3: Os número foram colocados na string realizando cast para trocar o tipo do conteúdo na variável e em seguida utilizando os comando msgsnd() para enviar o dado para a Fila.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Pergunta 4: O Barbeiro terá acesso aos valores através do comando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msgrcv(), que ira acessar o conteúdo da fila que está na memória compartilhada.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Pergunta 5: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