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零代码图表映射与分析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 RAWGraphs 零代码可视化平台的完整工作流（数据加载→图表选择→通道映射→视觉定制→导出）。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（二）运用视觉编码理论为多维数据选择合理图表类型，理解不同图表类型揭示数据模式的差异。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（三）能够撰写设计说明，阐述视觉通道映射逻辑、数据洞察发现与零代码工具的局限性反思。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硬件：个人计算机（学校机房或自备），需联网访问 RAWGraphs 在线平台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软件：浏览器（Chrome/Edge）；RAWGraphs 2.0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3. 数据：教师提供的校园采样数据集或 RAWGraphs 内置示例数据集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在 RAWGraphs 平台加载数据，检查数据类型解析是否正确。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配置维度到图表变量的通道映射。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调整颜色、尺寸、标签等视觉参数。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撰写设计说明。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