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零代码图表映射与分析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 RAWGraphs 零代码可视化平台的完整工作流（数据加载→图表选择→通道映射→视觉定制→导出）。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（二）运用视觉编码理论为多维数据选择合理图表类型，理解不同图表类型揭示数据模式的差异。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（三）能够撰写设计说明，阐述视觉通道映射逻辑、数据洞察发现与零代码工具的局限性反思。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硬件：个人计算机（学校机房或自备），需联网访问 RAWGraphs 在线平台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软件：浏览器（Chrome/Edge）；RAWGraphs 2.0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数据：教师提供的校园采样数据集或 RAWGraphs 内置示例数据集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在 RAWGraphs 平台加载数据，检查数据类型解析是否正确。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配置维度到图表变量的通道映射。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调整颜色、尺寸、标签等视觉参数。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撰写设计说明。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