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多维信息可视化系统综合设计与实现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0D32E3" w:rsidRDefault="000D32E3">
      <w:pPr>
        <w:widowControl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 w:type="page"/>
      </w: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（一）能够独立完成从原始数据处理（数据到数据转换）到最终视觉呈现的全流程。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（二）针对不同卷面主题（A卷：生活类，B卷：商业专业类），展现准确的情感表达与数据洞察。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（三）灵活运用不限工具（包含代码、设计软件或手绘），突破工具限制完成可视化创作。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硬件：个人计算机或手绘工具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软件/工具：不限（可使用 D3.js、RAWGraphs、Figma、PS、AI、或马克笔、水彩等传统手绘工具）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明确卷面主题（生活类 vs 商业类），进行目标数据搜集或模拟。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执行"数据到数据转换"：完成数据的聚合、过滤、重计算或结构映射。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制定视觉隐喻与通道映射策略。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使用自选工具（数字或手绘）完成最终可视化产出。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5. 提交作品并撰写综合报告。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6A6390" w:rsidRDefault="006A6390" w:rsidP="006A6390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:rsidR="006A6390" w:rsidRDefault="006A6390" w:rsidP="006A6390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:rsidR="006A6390" w:rsidRDefault="006A6390" w:rsidP="006A6390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:rsidR="00F7792E" w:rsidRPr="006A6390" w:rsidRDefault="00F7792E" w:rsidP="006A6390">
            <w:pPr>
              <w:wordWrap w:val="0"/>
              <w:rPr>
                <w:sz w:val="32"/>
                <w:szCs w:val="32"/>
              </w:rPr>
            </w:pP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8D9" w14:textId="77777777" w:rsidR="00FA27CF" w:rsidRDefault="00FA27CF">
      <w:r>
        <w:separator/>
      </w:r>
    </w:p>
  </w:endnote>
  <w:endnote w:type="continuationSeparator" w:id="0">
    <w:p w14:paraId="7C92549E" w14:textId="77777777" w:rsidR="00FA27CF" w:rsidRDefault="00FA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904" w14:textId="77777777" w:rsidR="00FA27CF" w:rsidRDefault="00FA27CF">
      <w:r>
        <w:separator/>
      </w:r>
    </w:p>
  </w:footnote>
  <w:footnote w:type="continuationSeparator" w:id="0">
    <w:p w14:paraId="21BF9534" w14:textId="77777777" w:rsidR="00FA27CF" w:rsidRDefault="00FA2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32E3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1267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6390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6DBD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7CF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8</cp:revision>
  <cp:lastPrinted>2017-03-13T11:38:00Z</cp:lastPrinted>
  <dcterms:created xsi:type="dcterms:W3CDTF">2016-11-11T15:11:00Z</dcterms:created>
  <dcterms:modified xsi:type="dcterms:W3CDTF">2026-05-21T12:08:00Z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