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第7章  鉴赏与启航</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7.1 站在巨人的肩膀上：经典作品鉴赏与嵌套模型原型推演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能够通过自然语言概念驱动，灵活指挥 AI 引擎运用 D3.js 框架进行复杂交互叙事的生成与视觉定制。支撑课程能力目标（1），对应毕业要求4。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知识目标：掌握嵌套模型验证方法与经典可视化作品的逆向解构分析</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能力目标：能综合运用前序周次的全部技能进行复杂项目的架构设计与原型推演</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难点：如何从宏大的社会议题中提炼出具有数据支撑和人文关怀的可视化切入点，并借鉴大师经验防范设计崩塌</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《信息可视化设计》第四章 信息可视化设计师／团队和优秀作品案例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Ch15 分析案例研究</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Ch4 分析：验证的四个层次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Scott Ch16 Project Walk-Through</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理论讲授、逆向工程赏析、项目制学习、互评研讨</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【教学组织】【上半场：鉴赏与理论反刍】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结合《信息可视化设计》第 4、6 章，深入剖析经典信息可视化作品的底层逻辑。</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从“数据抽象”、“视觉编码”、“交互隐喻”三个维度，逆向解构大师作品。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引入 Munzner Ch15 (Design Studies)，学习如何将抽象设计直觉转化为严谨工程步骤。</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运用嵌套模型 (Nested Model) 分析失败图表在哪一层发生了级联崩塌。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【教学方法】理论讲授、逆向工程赏析、项目制学习、互评研讨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【时间安排】约135分钟（3.0理论学时）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【教学组织】【下半场：项目启航与 Critique】</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小组展示具备人文关怀的期末选题（如文化保护、生态演变等），进行项目立项。</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运用嵌套模型交叉验证各组选题的 Domain/Abstraction/Encoding 设定合理性。</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开展激烈的 Peer Critique，识别各组选题的逻辑漏洞与数据获取风险。</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制定最终数据源收集、大模型协助策略与项目落地时间线。</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【教学方法】理论讲授、逆向工程赏析、项目制学习、互评研讨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【时间安排】约90分钟（2.0实践学时）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完成综合项目的自然语言逻辑推演文档，包含大师作品逆向分析参考、议题选择、嵌套模型验证、数据源清洗策略，并进行小组 Critique 互评。</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