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状态机映射与视觉体系 (States &amp; System)</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w:t>
            </w:r>
            <w:bookmarkStart w:id="11" w:name="OLE_LINK15"/>
            <w:r>
              <w:rPr>
                <w:rFonts w:ascii="SimSun" w:eastAsia="SimSun" w:hAnsi="SimSun" w:cs="Times New Roman" w:hint="eastAsia"/>
                <w:sz w:val="24"/>
                <w:szCs w:val="24"/>
              </w:rPr>
              <w:t>√</w:t>
            </w:r>
            <w:bookmarkEnd w:id="11"/>
            <w:r>
              <w:rPr>
                <w:rFonts w:ascii="SimSun" w:eastAsia="SimSun" w:hAnsi="SimSun" w:cs="Times New Roman" w:hint="eastAsia"/>
                <w:sz w:val="24"/>
                <w:szCs w:val="24"/>
              </w:rPr>
              <w:t xml:space="preserve">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完成系统级页面状态流转架构及前端实现的原子级设计 Token 体系建立，并补全极端情境边界的防错设计。</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