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第十章 前沿动效组件融入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10.1 前端交互特效融合机制；微观反馈的理论支撑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10.2 AI代码助手驱动实现跟随/粒子等基础创意动效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10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能够运用目标导向设计思路与 Vibe Coding 范式，独立完成具有创新性与原创性的交互体验原型设计。支撑课程能力目标（1），对应毕业要求3（观测点3.2 独立创意思考与原创设计）。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具备面对 AI 生成代码不确定性时的工程韧性与自主排错意识，不盲从技术输出，坚持以人为本的设计价值观。支撑课程素质目标（2），对应毕业要求5（观测点5.1 信息应用）。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知识目标：认知微动效在提供反馈与情感化设计中的重要作用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能力目标：掌握通过 AI 辅助植入创意前端动效的协作流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重点：微交互反馈的作用机制与创意动效代码的组件级融合方法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难点：在保证核心主线流畅的前提下，以无缝不违和的方式接入外部复杂特效组件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理论讲授、优秀动效组件赏析、AI 驱动特效接入实拍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W09 AI 壳层生成成果，引出视觉增强需求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【教学方法】理论讲授、优秀动效组件赏析、AI 驱动特效接入实拍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【教学组织】播放同一应用的无动效版与精雕动效版录屏对比，感受微交互的生命力差异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【教学方法】理论讲授、优秀动效组件赏析、AI 驱动特效接入实拍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【教学组织】微交互反馈理论（Saffer 模型）、动效组件融合机制、AI 动效代码协作流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【教学方法】理论讲授、优秀动效组件赏析、AI 驱动特效接入实拍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【课程思政融入点】融入创新意识，展现审美创造力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【教学组织】AI 驱动植入跟随/粒子/转场等创意动效组件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【教学方法】理论讲授、优秀动效组件赏析、AI 驱动特效接入实拍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【教学组织】动效演示互评，预告排障与兜底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为项目原型植入至少 2 个创意微动效（如跟手粒子/页面转场/hover 反馈），提交动效演示录屏与 AI 协作对话截图。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