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第五次课教案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第五章 目标导向路径与架构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5.1 心流机制；前端页面状态流式拆解与编排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5.2 启动 实验2(Exp2)，起草应用状态流转白板图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5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分析人类认知局限与短时记忆负荷对界面设计的约束机理，运用心智模型匹配与降低认知过载的设计法则重构具体界面案例。支撑课程知识目标（2），对应毕业要求2（观测点2.1 基础知识掌握）。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知识目标：理解心流状态的触发条件，掌握前端页面状态机的流式拆解手法与逻辑编排能力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重点：目标导向的流式架构图设计与界面状态机的完整闭环设计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难点：抛弃静态页面思维，全面梳理考虑各种临界和中间状态的动态跳转逻辑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理论讲授、系统蓝图拆解、状态机白板绘图实操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W04 MVP 清单，引出需要逻辑架构支撑功能落地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【教学方法】理论讲授、系统蓝图拆解、状态机白板绘图实操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【教学组织】演示一个看似完整但用户频繁迷路的应用流程，暴露缺乏状态机规划的混乱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【教学方法】理论讲授、系统蓝图拆解、状态机白板绘图实操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【教学组织】心流机制与沉浸设计、目标导向设计方法论、状态机拆解（正常流/异常流/空状态）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【教学方法】理论讲授、系统蓝图拆解、状态机白板绘图实操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【课程思政融入点】培养系统观念与全局视野，强调严谨逻辑推理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【教学组织】启动 实验2(Exp2)——白板绘制应用状态流转架构图，互查异常分支完备性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【教学方法】理论讲授、系统蓝图拆解、状态机白板绘图实操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【教学组织】点评典型架构图，预告视觉系统构建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将 MVP 清单转化为完整的页面状态流转架构图（含正常流 + 至少 3 个异常分支），以白板图或 FigJam 形式提交。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