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广州南方学院期末考试试卷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>（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    </w:t>
      </w:r>
      <w:r>
        <w:rPr>
          <w:rFonts w:ascii="Times New Roman" w:hAnsi="Times New Roman" w:cs="Times New Roman"/>
          <w:sz w:val="24"/>
          <w:sz-cs w:val="24"/>
          <w:spacing w:val="22"/>
        </w:rPr>
        <w:t xml:space="preserve">级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          </w:t>
      </w:r>
      <w:r>
        <w:rPr>
          <w:rFonts w:ascii="Times New Roman" w:hAnsi="Times New Roman" w:cs="Times New Roman"/>
          <w:sz w:val="24"/>
          <w:sz-cs w:val="24"/>
          <w:spacing w:val="22"/>
        </w:rPr>
        <w:t xml:space="preserve">专业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2025 ～2026 学年度 第 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1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课程名称  交互产品开发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             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A  </w:t>
      </w:r>
      <w:r>
        <w:rPr>
          <w:rFonts w:ascii="Times New Roman" w:hAnsi="Times New Roman" w:cs="Times New Roman"/>
          <w:sz w:val="24"/>
          <w:sz-cs w:val="24"/>
        </w:rPr>
        <w:t xml:space="preserve">卷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考试形式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闭（开）卷</w:t>
      </w:r>
      <w:r>
        <w:rPr>
          <w:rFonts w:ascii="Times New Roman" w:hAnsi="Times New Roman" w:cs="Times New Roman"/>
          <w:sz w:val="24"/>
          <w:sz-cs w:val="24"/>
        </w:rPr>
        <w:t xml:space="preserve">                         考核类型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考试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4"/>
          <w:sz-cs w:val="24"/>
        </w:rPr>
        <w:t xml:space="preserve">本试卷共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大题，卷面满分100分，答题时间120分钟。请将答案写于答题纸上，在试卷上作答无效。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1.颈椎的特征性结构是（   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A.横突肋凹</w:t>
        <w:tab/>
        <w:t xml:space="preserve"/>
        <w:tab/>
        <w:t xml:space="preserve"/>
        <w:tab/>
        <w:t xml:space="preserve"/>
        <w:tab/>
        <w:t xml:space="preserve">B.横突孔          C.横突           </w:t>
        <w:tab/>
        <w:t xml:space="preserve">D.上、下关节突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二、填空题：</w:t>
      </w:r>
      <w:r>
        <w:rPr>
          <w:rFonts w:ascii="Times" w:hAnsi="Times" w:cs="Times"/>
          <w:sz w:val="24"/>
          <w:sz-cs w:val="24"/>
          <w:b/>
        </w:rPr>
        <w:t xml:space="preserve">（共X空，每空X分，共X分）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人们在判断大众传播的影响力之际存在着一种普遍的感知定势，即倾向于认为大众媒介的信息（尤其是说服性信息或宣传以及负面信息）对“我”或“你”未必有多大影响，然而会对“他”人产生不可估量的影响，这是___________理论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1.踝关节被动活动技术中治疗师需要一手固定踝关节上方，另一手握足跟，在牵拉跟腱的同时，利用治疗师的前臂屈侧推压足跟。</w:t>
        <w:tab/>
        <w:t xml:space="preserve">（   </w:t>
        <w:tab/>
        <w:t xml:space="preserve">）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2.牵伸屈肘肌群可以增加肘关节伸直活动范围。</w:t>
        <w:tab/>
        <w:t xml:space="preserve">（   </w:t>
        <w:tab/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3.寰枢关节半脱位的患者首选坐位牵引。</w:t>
        <w:tab/>
        <w:t xml:space="preserve">（   </w:t>
        <w:tab/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1.肌腱袖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2.脊神经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1.简述体循环和肺循环的循环途径。（X分）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六、论述题：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1.试述设计偏瘫患者恢复期患侧上肢作业活动的原则。（X分）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②</w:t>
      </w:r>
      <w:r>
        <w:rPr>
          <w:rFonts w:ascii="Times New Roman" w:hAnsi="Times New Roman" w:cs="Times New Roman"/>
          <w:sz w:val="18"/>
          <w:sz-cs w:val="18"/>
        </w:rPr>
        <w:t xml:space="preserve">-1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…………………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……密………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………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封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………………………装…………………订………………………线………………………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ind w:first-line="1200"/>
      </w:pPr>
      <w:r>
        <w:rPr>
          <w:rFonts w:ascii="Times New Roman" w:hAnsi="Times New Roman" w:cs="Times New Roman"/>
          <w:sz w:val="24"/>
          <w:sz-cs w:val="24"/>
        </w:rPr>
        <w:t xml:space="preserve">院系：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> 专业（班级）：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</w:t>
      </w:r>
      <w:r>
        <w:rPr>
          <w:rFonts w:ascii="Times New Roman" w:hAnsi="Times New Roman" w:cs="Times New Roman"/>
          <w:sz w:val="24"/>
          <w:sz-cs w:val="24"/>
        </w:rPr>
        <w:t xml:space="preserve"> 姓名：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-cs w:val="24"/>
        </w:rPr>
        <w:t xml:space="preserve"> 学号：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>签到表序号：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5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5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