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5ECB43">
      <w:pPr>
        <w:spacing w:line="560" w:lineRule="exact"/>
        <w:jc w:val="center"/>
        <w:rPr>
          <w:rFonts w:ascii="方正小标宋简体" w:eastAsia="方正小标宋简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eastAsia="方正小标宋简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广州南方学院毕业实习指导阶段性</w:t>
      </w:r>
    </w:p>
    <w:p w14:paraId="0E15F947">
      <w:pPr>
        <w:spacing w:line="560" w:lineRule="exact"/>
        <w:jc w:val="center"/>
        <w:rPr>
          <w:rFonts w:hint="eastAsia" w:ascii="方正小标宋简体" w:eastAsia="方正小标宋简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eastAsia="方正小标宋简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工作量核算细则</w:t>
      </w:r>
    </w:p>
    <w:p w14:paraId="6CAF6A14">
      <w:pPr>
        <w:spacing w:line="560" w:lineRule="exact"/>
        <w:rPr>
          <w:rFonts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3EB20CD9">
      <w:pPr>
        <w:spacing w:line="560" w:lineRule="exact"/>
        <w:ind w:firstLine="640" w:firstLineChars="200"/>
        <w:rPr>
          <w:rFonts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为规范毕业实习指导工作量的核算，</w:t>
      </w:r>
      <w:r>
        <w:rPr>
          <w:rFonts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保障</w:t>
      </w:r>
      <w:r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实习指导</w:t>
      </w:r>
      <w:r>
        <w:rPr>
          <w:rFonts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教师工作量的公平、合理认定</w:t>
      </w:r>
      <w:r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，依据《广州南方学院专任教师工作量管理办法》及《广州南方学院实习管理办法》相关规定，特制定本细则。</w:t>
      </w:r>
    </w:p>
    <w:p w14:paraId="60D89B6E">
      <w:pPr>
        <w:spacing w:line="560" w:lineRule="exact"/>
        <w:ind w:firstLine="640" w:firstLineChars="200"/>
        <w:rPr>
          <w:rFonts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一、适用范围</w:t>
      </w:r>
    </w:p>
    <w:p w14:paraId="13CCD271">
      <w:pPr>
        <w:spacing w:line="560" w:lineRule="exact"/>
        <w:ind w:firstLine="640" w:firstLineChars="200"/>
        <w:rPr>
          <w:rFonts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本细则适用于指导周期超过一学期、需跨学期完成的集中或分散毕业实习任务。</w:t>
      </w:r>
    </w:p>
    <w:p w14:paraId="0F2A457A">
      <w:pPr>
        <w:spacing w:line="560" w:lineRule="exact"/>
        <w:ind w:firstLine="640" w:firstLineChars="200"/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二、总工作量核定</w:t>
      </w:r>
    </w:p>
    <w:p w14:paraId="4080D8AB">
      <w:pPr>
        <w:spacing w:line="560" w:lineRule="exact"/>
        <w:ind w:firstLine="640" w:firstLineChars="200"/>
        <w:rPr>
          <w:rFonts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专任教师一学年内指导毕业实习总工作量按指导学生人数核定，标准为：指导30人及以下，按每人3学时计算；超过30人部分，按每人1学时计算。</w:t>
      </w:r>
    </w:p>
    <w:p w14:paraId="6C838551">
      <w:pPr>
        <w:spacing w:line="560" w:lineRule="exact"/>
        <w:ind w:firstLine="640" w:firstLineChars="200"/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三、</w:t>
      </w:r>
      <w:commentRangeStart w:id="0"/>
      <w:r>
        <w:rPr>
          <w:rFonts w:hint="eastAsia" w:ascii="黑体" w:hAnsi="黑体" w:eastAsia="黑体" w:cs="黑体"/>
          <w:sz w:val="32"/>
          <w:szCs w:val="32"/>
        </w:rPr>
        <w:t>指导阶段划分与学时占比</w:t>
      </w:r>
      <w:commentRangeEnd w:id="0"/>
      <w:r>
        <w:commentReference w:id="0"/>
      </w:r>
    </w:p>
    <w:p w14:paraId="539FDF00">
      <w:pPr>
        <w:spacing w:line="560" w:lineRule="exact"/>
        <w:ind w:firstLine="640" w:firstLineChars="200"/>
        <w:rPr>
          <w:rFonts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毕业实习指导工作量</w:t>
      </w:r>
      <w:r>
        <w:rPr>
          <w:rFonts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将按实习进程划分为以下三个阶段，并按相应比例进行拆分与核算：</w:t>
      </w:r>
      <w:bookmarkStart w:id="0" w:name="_GoBack"/>
      <w:bookmarkEnd w:id="0"/>
    </w:p>
    <w:tbl>
      <w:tblPr>
        <w:tblStyle w:val="15"/>
        <w:tblW w:w="106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1706"/>
        <w:gridCol w:w="1701"/>
        <w:gridCol w:w="6228"/>
      </w:tblGrid>
      <w:tr w14:paraId="15279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  <w:vAlign w:val="center"/>
          </w:tcPr>
          <w:p w14:paraId="1A5DB18E">
            <w:pPr>
              <w:spacing w:line="560" w:lineRule="exact"/>
              <w:jc w:val="center"/>
              <w:rPr>
                <w:rFonts w:hint="eastAsia" w:ascii="仿宋_GB2312" w:hAnsi="宋体" w:eastAsia="仿宋_GB2312"/>
                <w:b/>
                <w:bCs/>
                <w:color w:val="000000" w:themeColor="text1"/>
                <w:sz w:val="28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/>
                <w:bCs/>
                <w:sz w:val="28"/>
                <w:szCs w:val="32"/>
              </w:rPr>
              <w:t>阶段</w:t>
            </w:r>
          </w:p>
        </w:tc>
        <w:tc>
          <w:tcPr>
            <w:tcW w:w="1706" w:type="dxa"/>
            <w:vAlign w:val="center"/>
          </w:tcPr>
          <w:p w14:paraId="177148E4">
            <w:pPr>
              <w:spacing w:line="560" w:lineRule="exact"/>
              <w:jc w:val="center"/>
              <w:rPr>
                <w:rFonts w:hint="eastAsia" w:ascii="仿宋_GB2312" w:hAnsi="宋体" w:eastAsia="仿宋_GB2312"/>
                <w:b/>
                <w:bCs/>
                <w:color w:val="000000" w:themeColor="text1"/>
                <w:sz w:val="28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/>
                <w:bCs/>
                <w:sz w:val="28"/>
                <w:szCs w:val="32"/>
              </w:rPr>
              <w:t>指导任务</w:t>
            </w:r>
          </w:p>
        </w:tc>
        <w:tc>
          <w:tcPr>
            <w:tcW w:w="1701" w:type="dxa"/>
            <w:vAlign w:val="center"/>
          </w:tcPr>
          <w:p w14:paraId="7005FE0F">
            <w:pPr>
              <w:spacing w:line="560" w:lineRule="exact"/>
              <w:jc w:val="center"/>
              <w:rPr>
                <w:rFonts w:hint="eastAsia" w:ascii="仿宋_GB2312" w:hAnsi="宋体" w:eastAsia="仿宋_GB2312"/>
                <w:b/>
                <w:bCs/>
                <w:color w:val="000000" w:themeColor="text1"/>
                <w:sz w:val="28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/>
                <w:bCs/>
                <w:sz w:val="28"/>
                <w:szCs w:val="32"/>
              </w:rPr>
              <w:t>拆分比例</w:t>
            </w:r>
          </w:p>
        </w:tc>
        <w:tc>
          <w:tcPr>
            <w:tcW w:w="6228" w:type="dxa"/>
            <w:vAlign w:val="center"/>
          </w:tcPr>
          <w:p w14:paraId="30F07E3C">
            <w:pPr>
              <w:spacing w:line="560" w:lineRule="exact"/>
              <w:jc w:val="center"/>
              <w:rPr>
                <w:rFonts w:hint="eastAsia" w:ascii="仿宋_GB2312" w:hAnsi="宋体" w:eastAsia="仿宋_GB2312"/>
                <w:b/>
                <w:bCs/>
                <w:color w:val="000000" w:themeColor="text1"/>
                <w:sz w:val="28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/>
                <w:bCs/>
                <w:sz w:val="28"/>
                <w:szCs w:val="32"/>
              </w:rPr>
              <w:t>对应阶段任务与材料要求</w:t>
            </w:r>
          </w:p>
        </w:tc>
      </w:tr>
      <w:tr w14:paraId="6A268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  <w:vAlign w:val="center"/>
          </w:tcPr>
          <w:p w14:paraId="48C5FCD3">
            <w:pPr>
              <w:spacing w:line="560" w:lineRule="exact"/>
              <w:jc w:val="center"/>
              <w:rPr>
                <w:rFonts w:hint="eastAsia" w:ascii="仿宋_GB2312" w:hAnsi="宋体" w:eastAsia="仿宋_GB2312"/>
                <w:sz w:val="28"/>
                <w:szCs w:val="32"/>
              </w:rPr>
            </w:pPr>
            <w:r>
              <w:rPr>
                <w:rFonts w:hint="eastAsia" w:ascii="仿宋_GB2312" w:hAnsi="宋体" w:eastAsia="仿宋_GB2312"/>
                <w:sz w:val="28"/>
                <w:szCs w:val="32"/>
              </w:rPr>
              <w:t>第一阶段</w:t>
            </w:r>
          </w:p>
        </w:tc>
        <w:tc>
          <w:tcPr>
            <w:tcW w:w="1706" w:type="dxa"/>
            <w:vAlign w:val="center"/>
          </w:tcPr>
          <w:p w14:paraId="6E80F8F3">
            <w:pPr>
              <w:spacing w:line="560" w:lineRule="exact"/>
              <w:jc w:val="center"/>
              <w:rPr>
                <w:rFonts w:hint="eastAsia" w:ascii="仿宋_GB2312" w:hAnsi="宋体" w:eastAsia="仿宋_GB2312"/>
                <w:sz w:val="28"/>
                <w:szCs w:val="32"/>
              </w:rPr>
            </w:pPr>
            <w:r>
              <w:rPr>
                <w:rFonts w:hint="eastAsia" w:ascii="仿宋_GB2312" w:hAnsi="宋体" w:eastAsia="仿宋_GB2312"/>
                <w:sz w:val="28"/>
                <w:szCs w:val="32"/>
              </w:rPr>
              <w:t>安全教育与实习准备</w:t>
            </w:r>
          </w:p>
        </w:tc>
        <w:tc>
          <w:tcPr>
            <w:tcW w:w="1701" w:type="dxa"/>
            <w:vAlign w:val="center"/>
          </w:tcPr>
          <w:p w14:paraId="64DB7B5C">
            <w:pPr>
              <w:spacing w:line="560" w:lineRule="exact"/>
              <w:jc w:val="center"/>
              <w:rPr>
                <w:rFonts w:hint="eastAsia" w:ascii="仿宋_GB2312" w:hAnsi="宋体" w:eastAsia="仿宋_GB2312"/>
                <w:sz w:val="28"/>
                <w:szCs w:val="32"/>
              </w:rPr>
            </w:pPr>
            <w:r>
              <w:rPr>
                <w:rFonts w:hint="eastAsia" w:ascii="仿宋_GB2312" w:hAnsi="宋体" w:eastAsia="仿宋_GB2312"/>
                <w:sz w:val="28"/>
                <w:szCs w:val="32"/>
              </w:rPr>
              <w:t>总学时的</w:t>
            </w:r>
            <w:r>
              <w:rPr>
                <w:rFonts w:hint="eastAsia" w:ascii="仿宋_GB2312" w:hAnsi="宋体" w:eastAsia="仿宋_GB2312"/>
                <w:sz w:val="28"/>
                <w:szCs w:val="32"/>
                <w:lang w:eastAsia="zh-CN"/>
              </w:rPr>
              <w:t>3</w:t>
            </w:r>
            <w:r>
              <w:rPr>
                <w:rFonts w:hint="eastAsia" w:ascii="仿宋_GB2312" w:hAnsi="宋体" w:eastAsia="仿宋_GB2312"/>
                <w:sz w:val="28"/>
                <w:szCs w:val="32"/>
              </w:rPr>
              <w:t>0%</w:t>
            </w:r>
          </w:p>
        </w:tc>
        <w:tc>
          <w:tcPr>
            <w:tcW w:w="6228" w:type="dxa"/>
            <w:vAlign w:val="center"/>
          </w:tcPr>
          <w:p w14:paraId="72B2416F">
            <w:pPr>
              <w:spacing w:line="560" w:lineRule="exact"/>
              <w:rPr>
                <w:rFonts w:hint="default" w:ascii="仿宋_GB2312" w:hAnsi="宋体" w:eastAsia="仿宋_GB2312"/>
                <w:sz w:val="28"/>
                <w:szCs w:val="32"/>
                <w:highlight w:val="yellow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bCs/>
                <w:sz w:val="28"/>
                <w:szCs w:val="32"/>
              </w:rPr>
              <w:t>任务：</w:t>
            </w:r>
            <w:r>
              <w:rPr>
                <w:rFonts w:ascii="仿宋_GB2312" w:hAnsi="宋体" w:eastAsia="仿宋_GB2312"/>
                <w:sz w:val="28"/>
                <w:szCs w:val="32"/>
                <w:highlight w:val="yellow"/>
              </w:rPr>
              <w:t>完成实习动员、</w:t>
            </w:r>
            <w:r>
              <w:rPr>
                <w:rFonts w:hint="eastAsia" w:ascii="仿宋_GB2312" w:hAnsi="宋体" w:eastAsia="仿宋_GB2312"/>
                <w:sz w:val="28"/>
                <w:szCs w:val="32"/>
                <w:highlight w:val="yellow"/>
              </w:rPr>
              <w:t>基地宣讲、</w:t>
            </w:r>
            <w:r>
              <w:rPr>
                <w:rFonts w:ascii="仿宋_GB2312" w:hAnsi="宋体" w:eastAsia="仿宋_GB2312"/>
                <w:sz w:val="28"/>
                <w:szCs w:val="32"/>
                <w:highlight w:val="yellow"/>
              </w:rPr>
              <w:t>安全与纪律教育、岗前培训，指导学生明确实习任务与计划</w:t>
            </w:r>
            <w:r>
              <w:rPr>
                <w:rFonts w:hint="eastAsia" w:ascii="仿宋_GB2312" w:hAnsi="宋体" w:eastAsia="仿宋_GB2312"/>
                <w:sz w:val="28"/>
                <w:szCs w:val="32"/>
                <w:highlight w:val="yellow"/>
                <w:lang w:eastAsia="zh-CN"/>
              </w:rPr>
              <w:t>；签订实习三方协议</w:t>
            </w:r>
            <w:r>
              <w:rPr>
                <w:rFonts w:ascii="仿宋_GB2312" w:hAnsi="宋体" w:eastAsia="仿宋_GB2312"/>
                <w:sz w:val="28"/>
                <w:szCs w:val="32"/>
                <w:highlight w:val="yellow"/>
              </w:rPr>
              <w:t>。</w:t>
            </w:r>
            <w:r>
              <w:rPr>
                <w:rFonts w:hint="eastAsia" w:ascii="仿宋_GB2312" w:hAnsi="宋体" w:eastAsia="仿宋_GB2312"/>
                <w:sz w:val="28"/>
                <w:szCs w:val="32"/>
                <w:highlight w:val="yellow"/>
                <w:lang w:eastAsia="zh-CN"/>
              </w:rPr>
              <w:t>（</w:t>
            </w:r>
            <w:r>
              <w:rPr>
                <w:rFonts w:hint="eastAsia" w:ascii="仿宋_GB2312" w:hAnsi="宋体" w:eastAsia="仿宋_GB2312"/>
                <w:sz w:val="28"/>
                <w:szCs w:val="32"/>
                <w:highlight w:val="yellow"/>
                <w:lang w:val="en-US" w:eastAsia="zh-CN"/>
              </w:rPr>
              <w:t>线上会议完成）</w:t>
            </w:r>
          </w:p>
          <w:p w14:paraId="531866A4">
            <w:pPr>
              <w:spacing w:line="560" w:lineRule="exact"/>
              <w:rPr>
                <w:rFonts w:hint="eastAsia" w:ascii="仿宋_GB2312" w:hAnsi="宋体" w:eastAsia="仿宋_GB2312"/>
                <w:sz w:val="28"/>
                <w:szCs w:val="32"/>
              </w:rPr>
            </w:pPr>
            <w:commentRangeStart w:id="1"/>
            <w:r>
              <w:rPr>
                <w:rFonts w:hint="eastAsia" w:ascii="仿宋_GB2312" w:hAnsi="宋体" w:eastAsia="仿宋_GB2312"/>
                <w:b/>
                <w:bCs/>
                <w:sz w:val="28"/>
                <w:szCs w:val="32"/>
              </w:rPr>
              <w:t>材料</w:t>
            </w:r>
            <w:commentRangeEnd w:id="1"/>
            <w:r>
              <w:commentReference w:id="1"/>
            </w:r>
            <w:r>
              <w:rPr>
                <w:rFonts w:hint="eastAsia" w:ascii="仿宋_GB2312" w:hAnsi="宋体" w:eastAsia="仿宋_GB2312"/>
                <w:b/>
                <w:bCs/>
                <w:sz w:val="28"/>
                <w:szCs w:val="32"/>
              </w:rPr>
              <w:t>：</w:t>
            </w:r>
            <w:r>
              <w:rPr>
                <w:rFonts w:ascii="仿宋_GB2312" w:hAnsi="宋体" w:eastAsia="仿宋_GB2312"/>
                <w:sz w:val="28"/>
                <w:szCs w:val="32"/>
              </w:rPr>
              <w:t>实习动员会记录、安全教育签到表与培训记录、</w:t>
            </w:r>
            <w:r>
              <w:rPr>
                <w:rFonts w:hint="eastAsia" w:ascii="仿宋_GB2312" w:hAnsi="宋体" w:eastAsia="仿宋_GB2312"/>
                <w:sz w:val="28"/>
                <w:szCs w:val="32"/>
              </w:rPr>
              <w:t>新闻稿</w:t>
            </w:r>
            <w:r>
              <w:rPr>
                <w:rFonts w:hint="eastAsia" w:ascii="仿宋_GB2312" w:hAnsi="宋体" w:eastAsia="仿宋_GB2312"/>
                <w:sz w:val="28"/>
                <w:szCs w:val="32"/>
                <w:lang w:eastAsia="zh-CN"/>
              </w:rPr>
              <w:t>、三方协议样本</w:t>
            </w:r>
            <w:r>
              <w:rPr>
                <w:rFonts w:ascii="仿宋_GB2312" w:hAnsi="宋体" w:eastAsia="仿宋_GB2312"/>
                <w:sz w:val="28"/>
                <w:szCs w:val="32"/>
              </w:rPr>
              <w:t>等过程性佐证材料。</w:t>
            </w:r>
          </w:p>
        </w:tc>
      </w:tr>
      <w:tr w14:paraId="4AA47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  <w:vAlign w:val="center"/>
          </w:tcPr>
          <w:p w14:paraId="2AB7D4D2">
            <w:pPr>
              <w:spacing w:line="560" w:lineRule="exact"/>
              <w:jc w:val="center"/>
              <w:rPr>
                <w:rFonts w:hint="eastAsia" w:ascii="仿宋_GB2312" w:hAnsi="宋体" w:eastAsia="仿宋_GB2312"/>
                <w:color w:val="000000" w:themeColor="text1"/>
                <w:sz w:val="28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sz w:val="28"/>
                <w:szCs w:val="32"/>
              </w:rPr>
              <w:t>第二阶段</w:t>
            </w:r>
          </w:p>
        </w:tc>
        <w:tc>
          <w:tcPr>
            <w:tcW w:w="1706" w:type="dxa"/>
            <w:vAlign w:val="center"/>
          </w:tcPr>
          <w:p w14:paraId="696C4BC9">
            <w:pPr>
              <w:spacing w:line="560" w:lineRule="exact"/>
              <w:jc w:val="center"/>
              <w:rPr>
                <w:rFonts w:hint="eastAsia" w:ascii="仿宋_GB2312" w:hAnsi="宋体" w:eastAsia="仿宋_GB2312"/>
                <w:color w:val="000000" w:themeColor="text1"/>
                <w:sz w:val="28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sz w:val="28"/>
                <w:szCs w:val="32"/>
              </w:rPr>
              <w:t>过程监控与跟踪指导</w:t>
            </w:r>
          </w:p>
        </w:tc>
        <w:tc>
          <w:tcPr>
            <w:tcW w:w="1701" w:type="dxa"/>
            <w:vAlign w:val="center"/>
          </w:tcPr>
          <w:p w14:paraId="7AA45381">
            <w:pPr>
              <w:spacing w:line="560" w:lineRule="exact"/>
              <w:jc w:val="center"/>
              <w:rPr>
                <w:rFonts w:hint="eastAsia" w:ascii="仿宋_GB2312" w:hAnsi="宋体" w:eastAsia="仿宋_GB2312"/>
                <w:color w:val="000000" w:themeColor="text1"/>
                <w:sz w:val="28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sz w:val="28"/>
                <w:szCs w:val="32"/>
              </w:rPr>
              <w:t>总学时的50%</w:t>
            </w:r>
          </w:p>
        </w:tc>
        <w:tc>
          <w:tcPr>
            <w:tcW w:w="6228" w:type="dxa"/>
            <w:vAlign w:val="center"/>
          </w:tcPr>
          <w:p w14:paraId="46653A51">
            <w:pPr>
              <w:spacing w:line="560" w:lineRule="exact"/>
              <w:rPr>
                <w:rFonts w:hint="eastAsia" w:ascii="仿宋_GB2312" w:hAnsi="宋体" w:eastAsia="仿宋_GB2312"/>
                <w:sz w:val="28"/>
                <w:szCs w:val="32"/>
              </w:rPr>
            </w:pPr>
            <w:r>
              <w:rPr>
                <w:rFonts w:hint="eastAsia" w:ascii="仿宋_GB2312" w:hAnsi="宋体" w:eastAsia="仿宋_GB2312"/>
                <w:b/>
                <w:bCs/>
                <w:sz w:val="28"/>
                <w:szCs w:val="32"/>
              </w:rPr>
              <w:t>任务：</w:t>
            </w:r>
            <w:r>
              <w:rPr>
                <w:rFonts w:hint="eastAsia" w:ascii="仿宋_GB2312" w:hAnsi="宋体" w:eastAsia="仿宋_GB2312"/>
                <w:sz w:val="28"/>
                <w:szCs w:val="32"/>
              </w:rPr>
              <w:t>落实全程跟踪指导，每月不少于2次检查学生实习进展与安全状况；定期批阅学生实习月志，及时解答学生问题。</w:t>
            </w:r>
          </w:p>
          <w:p w14:paraId="0D2474E0">
            <w:pPr>
              <w:spacing w:line="560" w:lineRule="exact"/>
              <w:rPr>
                <w:rFonts w:hint="eastAsia" w:ascii="仿宋_GB2312" w:hAnsi="宋体" w:eastAsia="仿宋_GB2312"/>
                <w:color w:val="000000" w:themeColor="text1"/>
                <w:sz w:val="28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/>
                <w:bCs/>
                <w:sz w:val="28"/>
                <w:szCs w:val="32"/>
              </w:rPr>
              <w:t>材料：</w:t>
            </w:r>
            <w:r>
              <w:rPr>
                <w:rFonts w:hint="eastAsia" w:ascii="仿宋_GB2312" w:hAnsi="宋体" w:eastAsia="仿宋_GB2312"/>
                <w:b w:val="0"/>
                <w:bCs w:val="0"/>
                <w:sz w:val="28"/>
                <w:szCs w:val="32"/>
                <w:lang w:eastAsia="zh-CN"/>
              </w:rPr>
              <w:t>提供不少于2次的</w:t>
            </w:r>
            <w:r>
              <w:rPr>
                <w:rFonts w:hint="eastAsia" w:ascii="仿宋_GB2312" w:hAnsi="宋体" w:eastAsia="仿宋_GB2312"/>
                <w:b w:val="0"/>
                <w:bCs w:val="0"/>
                <w:sz w:val="28"/>
                <w:szCs w:val="32"/>
              </w:rPr>
              <w:t>指导</w:t>
            </w:r>
            <w:r>
              <w:rPr>
                <w:rFonts w:hint="eastAsia" w:ascii="仿宋_GB2312" w:hAnsi="宋体" w:eastAsia="仿宋_GB2312"/>
                <w:sz w:val="28"/>
                <w:szCs w:val="32"/>
              </w:rPr>
              <w:t>记录、已批阅的学生实习月志等</w:t>
            </w:r>
            <w:r>
              <w:rPr>
                <w:rFonts w:hint="eastAsia" w:ascii="仿宋_GB2312" w:hAnsi="宋体" w:eastAsia="仿宋_GB2312"/>
                <w:sz w:val="28"/>
                <w:szCs w:val="32"/>
                <w:lang w:eastAsia="zh-CN"/>
              </w:rPr>
              <w:t>（每位学生需有1篇及以上实习月志）</w:t>
            </w:r>
            <w:r>
              <w:rPr>
                <w:rFonts w:hint="eastAsia" w:ascii="仿宋_GB2312" w:hAnsi="宋体" w:eastAsia="仿宋_GB2312"/>
                <w:sz w:val="28"/>
                <w:szCs w:val="32"/>
              </w:rPr>
              <w:t>，对应归档要求中的材料1-5、8-9及材料10（学生月志）。</w:t>
            </w:r>
          </w:p>
        </w:tc>
      </w:tr>
      <w:tr w14:paraId="3AA42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  <w:vAlign w:val="center"/>
          </w:tcPr>
          <w:p w14:paraId="225CAD97">
            <w:pPr>
              <w:spacing w:line="560" w:lineRule="exact"/>
              <w:jc w:val="center"/>
              <w:rPr>
                <w:rFonts w:hint="eastAsia" w:ascii="仿宋_GB2312" w:hAnsi="宋体" w:eastAsia="仿宋_GB2312"/>
                <w:color w:val="000000" w:themeColor="text1"/>
                <w:sz w:val="28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sz w:val="28"/>
                <w:szCs w:val="32"/>
              </w:rPr>
              <w:t>第三阶段</w:t>
            </w:r>
          </w:p>
        </w:tc>
        <w:tc>
          <w:tcPr>
            <w:tcW w:w="1706" w:type="dxa"/>
            <w:vAlign w:val="center"/>
          </w:tcPr>
          <w:p w14:paraId="587C465B">
            <w:pPr>
              <w:spacing w:line="560" w:lineRule="exact"/>
              <w:jc w:val="center"/>
              <w:rPr>
                <w:rFonts w:hint="eastAsia" w:ascii="仿宋_GB2312" w:hAnsi="宋体" w:eastAsia="仿宋_GB2312"/>
                <w:color w:val="000000" w:themeColor="text1"/>
                <w:sz w:val="28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sz w:val="28"/>
                <w:szCs w:val="32"/>
              </w:rPr>
              <w:t>总结考核与材料归档</w:t>
            </w:r>
          </w:p>
        </w:tc>
        <w:tc>
          <w:tcPr>
            <w:tcW w:w="1701" w:type="dxa"/>
            <w:vAlign w:val="center"/>
          </w:tcPr>
          <w:p w14:paraId="32A3FC5B">
            <w:pPr>
              <w:spacing w:line="560" w:lineRule="exact"/>
              <w:jc w:val="center"/>
              <w:rPr>
                <w:rFonts w:hint="eastAsia" w:ascii="仿宋_GB2312" w:hAnsi="宋体" w:eastAsia="仿宋_GB2312"/>
                <w:color w:val="000000" w:themeColor="text1"/>
                <w:sz w:val="28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sz w:val="28"/>
                <w:szCs w:val="32"/>
              </w:rPr>
              <w:t>总学时的</w:t>
            </w:r>
            <w:r>
              <w:rPr>
                <w:rFonts w:hint="eastAsia" w:ascii="仿宋_GB2312" w:hAnsi="宋体" w:eastAsia="仿宋_GB2312"/>
                <w:sz w:val="28"/>
                <w:szCs w:val="32"/>
                <w:lang w:eastAsia="zh-CN"/>
              </w:rPr>
              <w:t>20</w:t>
            </w:r>
            <w:r>
              <w:rPr>
                <w:rFonts w:hint="eastAsia" w:ascii="仿宋_GB2312" w:hAnsi="宋体" w:eastAsia="仿宋_GB2312"/>
                <w:sz w:val="28"/>
                <w:szCs w:val="32"/>
              </w:rPr>
              <w:t>%</w:t>
            </w:r>
          </w:p>
        </w:tc>
        <w:tc>
          <w:tcPr>
            <w:tcW w:w="6228" w:type="dxa"/>
            <w:vAlign w:val="center"/>
          </w:tcPr>
          <w:p w14:paraId="44B1E2E0">
            <w:pPr>
              <w:spacing w:line="560" w:lineRule="exact"/>
              <w:rPr>
                <w:rFonts w:hint="eastAsia" w:ascii="仿宋_GB2312" w:hAnsi="宋体" w:eastAsia="仿宋_GB2312"/>
                <w:sz w:val="28"/>
                <w:szCs w:val="32"/>
              </w:rPr>
            </w:pPr>
            <w:r>
              <w:rPr>
                <w:rFonts w:hint="eastAsia" w:ascii="仿宋_GB2312" w:hAnsi="宋体" w:eastAsia="仿宋_GB2312"/>
                <w:b/>
                <w:bCs/>
                <w:sz w:val="28"/>
                <w:szCs w:val="32"/>
              </w:rPr>
              <w:t>任务：</w:t>
            </w:r>
            <w:r>
              <w:rPr>
                <w:rFonts w:hint="eastAsia" w:ascii="仿宋_GB2312" w:hAnsi="宋体" w:eastAsia="仿宋_GB2312"/>
                <w:sz w:val="28"/>
                <w:szCs w:val="32"/>
              </w:rPr>
              <w:t>实习总结报告批阅、成绩评定、质量分析，归档材料整理与提交。</w:t>
            </w:r>
          </w:p>
          <w:p w14:paraId="58150D18">
            <w:pPr>
              <w:spacing w:line="560" w:lineRule="exact"/>
              <w:rPr>
                <w:rFonts w:hint="eastAsia" w:ascii="仿宋_GB2312" w:hAnsi="宋体" w:eastAsia="仿宋_GB2312"/>
                <w:color w:val="000000" w:themeColor="text1"/>
                <w:sz w:val="28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/>
                <w:bCs/>
                <w:sz w:val="28"/>
                <w:szCs w:val="32"/>
              </w:rPr>
              <w:t>材料：</w:t>
            </w:r>
            <w:r>
              <w:rPr>
                <w:rFonts w:hint="eastAsia" w:ascii="仿宋_GB2312" w:hAnsi="宋体" w:eastAsia="仿宋_GB2312"/>
                <w:sz w:val="28"/>
                <w:szCs w:val="32"/>
              </w:rPr>
              <w:t>所有毕业实习归档材料（特别是材料6、7、10）。</w:t>
            </w:r>
          </w:p>
        </w:tc>
      </w:tr>
    </w:tbl>
    <w:p w14:paraId="68C1BB52">
      <w:pPr>
        <w:spacing w:line="560" w:lineRule="exact"/>
        <w:ind w:firstLine="640" w:firstLineChars="200"/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四、工作量核算方法及示例</w:t>
      </w:r>
    </w:p>
    <w:p w14:paraId="6D04DF6B">
      <w:pPr>
        <w:spacing w:line="560" w:lineRule="exact"/>
        <w:ind w:firstLine="640" w:firstLineChars="200"/>
        <w:rPr>
          <w:rFonts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毕业实习指导工作量遵循“</w:t>
      </w:r>
      <w:r>
        <w:rPr>
          <w:rFonts w:hint="eastAsia" w:ascii="仿宋_GB2312" w:eastAsia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按生分段</w:t>
      </w:r>
      <w:r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”原则，即根据每名学生的阶段完成情况及佐证材料，分阶段核算教师工作量。</w:t>
      </w:r>
    </w:p>
    <w:p w14:paraId="32A292B6">
      <w:pPr>
        <w:spacing w:line="560" w:lineRule="exact"/>
        <w:ind w:firstLine="643" w:firstLineChars="200"/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核算示例：</w:t>
      </w:r>
      <w:r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某教师本学期负责指导25名学生。</w:t>
      </w:r>
    </w:p>
    <w:p w14:paraId="232689AB">
      <w:pPr>
        <w:spacing w:line="560" w:lineRule="exact"/>
        <w:ind w:firstLine="640" w:firstLineChars="200"/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第一阶段：25名学生全部完成实习启动与准备，工作量=（25人×3学时）×20%=15学时。</w:t>
      </w:r>
    </w:p>
    <w:p w14:paraId="6F912BAB">
      <w:pPr>
        <w:spacing w:line="560" w:lineRule="exact"/>
        <w:ind w:firstLine="640" w:firstLineChars="200"/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第二阶段：截至</w:t>
      </w:r>
      <w:r>
        <w:rPr>
          <w:rFonts w:hint="eastAsia" w:ascii="仿宋_GB2312" w:eastAsia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期末</w:t>
      </w:r>
      <w:r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，有20名学生完成了过程监控期的指导任务，工作量=（20人×3学时）×50%=30学时。</w:t>
      </w:r>
    </w:p>
    <w:p w14:paraId="0D61D313">
      <w:pPr>
        <w:spacing w:line="560" w:lineRule="exact"/>
        <w:ind w:firstLine="640" w:firstLineChars="200"/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第三阶段：实习全部结束后，有25名学生完成总结考核，工作量=（25人×3学时）×30%=22.5学时。</w:t>
      </w:r>
    </w:p>
    <w:p w14:paraId="7CEB35B3">
      <w:pPr>
        <w:spacing w:line="560" w:lineRule="exact"/>
        <w:ind w:firstLine="640" w:firstLineChars="200"/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该教师</w:t>
      </w:r>
      <w:r>
        <w:rPr>
          <w:rFonts w:hint="eastAsia" w:ascii="仿宋_GB2312" w:eastAsia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本学期</w:t>
      </w:r>
      <w:r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的总工作量即为已完成阶段的工作量之和（15+30=45学时）。</w:t>
      </w:r>
    </w:p>
    <w:p w14:paraId="23A35B57">
      <w:pPr>
        <w:spacing w:line="560" w:lineRule="exact"/>
        <w:ind w:firstLine="640" w:firstLineChars="200"/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五、特殊情况处理</w:t>
      </w:r>
    </w:p>
    <w:p w14:paraId="3F07FBCF">
      <w:pPr>
        <w:tabs>
          <w:tab w:val="left" w:pos="720"/>
        </w:tabs>
        <w:spacing w:line="560" w:lineRule="exact"/>
        <w:ind w:firstLine="640" w:firstLineChars="200"/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（一）学生中途结束实习：</w:t>
      </w:r>
      <w:r>
        <w:rPr>
          <w:rFonts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若学生在某阶段中途</w:t>
      </w:r>
      <w:r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结束实习</w:t>
      </w:r>
      <w:r>
        <w:rPr>
          <w:rFonts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，经学院审核其在此前确已接受指导，则指导教师可按其实际完成的最高阶段比例核算该生的工作量。若学生未完成任何实质性阶段即退出，则不计该生工作量。</w:t>
      </w:r>
    </w:p>
    <w:p w14:paraId="435E6B78">
      <w:pPr>
        <w:tabs>
          <w:tab w:val="left" w:pos="720"/>
        </w:tabs>
        <w:spacing w:line="560" w:lineRule="exact"/>
        <w:ind w:firstLine="640" w:firstLineChars="200"/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（二）实习提前或延期结束：</w:t>
      </w:r>
      <w:r>
        <w:rPr>
          <w:rFonts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以学生个体实际完成的阶段为准进行工作量核算，学院需做好动态记录与审核。</w:t>
      </w:r>
    </w:p>
    <w:p w14:paraId="30EC6988">
      <w:pPr>
        <w:tabs>
          <w:tab w:val="left" w:pos="720"/>
        </w:tabs>
        <w:spacing w:line="560" w:lineRule="exact"/>
        <w:ind w:firstLine="640" w:firstLineChars="200"/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（三）指导教师变更：</w:t>
      </w:r>
      <w:r>
        <w:rPr>
          <w:rFonts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如发生指导教师变更，应由学院根据交接记录，明确划分前后任教师对每位学生所承担的具体指导阶段，并分别核算工作量。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夏莉娜-c君" w:date="2026-02-03T21:25:27Z" w:initials="">
    <w:p w14:paraId="3C6335D0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这部分截图给实习老师、让他们知道自己每个阶段性工作</w:t>
      </w:r>
    </w:p>
  </w:comment>
  <w:comment w:id="1" w:author="夏莉娜-c君" w:date="2026-02-03T21:24:21Z" w:initials="">
    <w:p w14:paraId="4A09FC3F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开会全部开摄像头，要证明自己参与会议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C6335D0" w15:done="0"/>
  <w15:commentEx w15:paraId="4A09FC3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夏莉娜-c君">
    <w15:presenceInfo w15:providerId="WPS Office" w15:userId="38348038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81D283B"/>
    <w:rsid w:val="35937316"/>
    <w:rsid w:val="66861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qFormat/>
    <w:uiPriority w:val="1"/>
  </w:style>
  <w:style w:type="table" w:default="1" w:styleId="1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uiPriority w:val="99"/>
    <w:pPr>
      <w:jc w:val="left"/>
    </w:pPr>
  </w:style>
  <w:style w:type="paragraph" w:styleId="12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000000" w:themeColor="text1"/>
      <w:spacing w:val="15"/>
      <w:sz w:val="28"/>
      <w:szCs w:val="28"/>
      <w14:textFill>
        <w14:solidFill>
          <w14:schemeClr w14:val="tx1"/>
        </w14:solidFill>
      </w14:textFill>
    </w:rPr>
  </w:style>
  <w:style w:type="paragraph" w:styleId="13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2"/>
    <w:qFormat/>
    <w:uiPriority w:val="11"/>
    <w:rPr>
      <w:rFonts w:asciiTheme="majorHAnsi" w:hAnsiTheme="majorHAnsi" w:eastAsiaTheme="majorEastAsia" w:cstheme="majorBidi"/>
      <w:color w:val="000000" w:themeColor="text1"/>
      <w:spacing w:val="15"/>
      <w:sz w:val="28"/>
      <w:szCs w:val="28"/>
      <w14:textFill>
        <w14:solidFill>
          <w14:schemeClr w14:val="tx1"/>
        </w14:solidFill>
      </w14:textFill>
    </w:rPr>
  </w:style>
  <w:style w:type="paragraph" w:customStyle="1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customStyle="1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1085</Words>
  <Characters>1130</Characters>
  <Lines>6</Lines>
  <Paragraphs>39</Paragraphs>
  <TotalTime>15</TotalTime>
  <ScaleCrop>false</ScaleCrop>
  <LinksUpToDate>false</LinksUpToDate>
  <CharactersWithSpaces>1130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2025-11-03T04:39:00Z</dcterms:created>
  <dc:creator>YANICE CHEUNG</dc:creator>
  <cp:lastModifiedBy>夏莉娜-c君</cp:lastModifiedBy>
  <dcterms:modified xsi:type="dcterms:W3CDTF">2026-02-03T13:45:10Z</dcterms:modified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A9078FAB75416DECBA010869961D11BA_31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eyJoZGlkIjoiOTZiOGQzYTQ2NjA3M2U4NmUzMmQ2YWEyYmMzMTJiYjMiLCJ1c2VySWQiOiIyNTY2MzQ0MTYifQ==</vt:lpwstr>
  </property>
</Properties>
</file>