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CNFU003847</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信息可视化设计</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2024级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2.0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40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交互设计基础</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本课程针对数字媒体艺术（DMA）专业学生，旨在探讨将抽象冷硬的数据转化为富有情感与叙事张力的视觉表达。课程以"信息可视化设计"和"视觉分析基础"为理论基石，引入"Vibe Coding（自然语言驱动编程）"前沿范式。通过学习，学生将掌握从视觉意象构思、自然语言抽象建模到生成式艺术与复杂交互图表呈现的全新工作流，极大拓展数据处理能力与交互艺术表达力。</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课程结合人文理论讲授与 Vibe 驱动实践，重构传统的"数据→编程→图表"工程路线为"视觉意象设想→自然语言定义→AI引擎生成→交互修改"的艺术打磨流程。前期深耕视觉叙事、符号隐喻与数据艺术理论；中期运用自然语言熟练调度 D3.js 与 ECharts 等高低阶框架进行生成创作；后期通过整合社会文化议题的数据调研，完成具有人文关怀与艺术深度的综合交互叙事原型开发与部署。</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tbl>
      <w:tblPr>
        <w:tblW w:w="4650" w:type="pct"/>
        <w:tblInd w:w="536" w:type="dxa"/>
        <w:tblLayout w:type="fixed"/>
        <w:tblLook w:val="0000" w:firstRow="0" w:lastRow="0" w:firstColumn="0" w:lastColumn="0" w:noHBand="0" w:noVBand="0"/>
      </w:tblPr>
      <w:tblGrid>
        <w:gridCol w:w="523"/>
        <w:gridCol w:w="3824"/>
        <w:gridCol w:w="4817"/>
      </w:tblGrid>
      <w:tr w:rsidR="0029486A">
        <w:trPr>
          <w:trHeight w:val="450"/>
        </w:trPr>
        <w:tc>
          <w:tcPr>
            <w:tcW w:w="4252" w:type="dxa"/>
            <w:gridSpan w:val="2"/>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课程目标</w:t>
            </w:r>
          </w:p>
        </w:tc>
        <w:tc>
          <w:tcPr>
            <w:tcW w:w="2521" w:type="dxa"/>
            <w:tcBorders>
              <w:top w:val="single" w:sz="4" w:space="0" w:color="000000"/>
              <w:left w:val="single" w:sz="4" w:space="0" w:color="000000"/>
              <w:bottom w:val="single" w:sz="4" w:space="0" w:color="000000"/>
              <w:right w:val="single" w:sz="4" w:space="0" w:color="000000"/>
            </w:tcBorders>
            <w:vAlign w:val="bottom"/>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对应毕业要求</w:t>
            </w:r>
          </w:p>
        </w:tc>
      </w:tr>
      <w:tr w:rsidR="0029486A">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知识目标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widowControl w:val="0"/>
              <w:autoSpaceDE w:val="0"/>
              <w:spacing w:before="40" w:after="40" w:line="400" w:lineRule="exact"/>
              <w:jc w:val="both"/>
              <w:rPr>
                <w:rFonts w:ascii="SimSun" w:hAnsi="SimSun" w:cs="SimSun"/>
                <w:color w:val="FF0000"/>
                <w:sz w:val="24"/>
                <w:szCs w:val="24"/>
                <w:lang w:eastAsia="zh-CN"/>
              </w:rPr>
            </w:pPr>
            <w:bookmarkStart w:id="20" w:name="OLE_LINK1"/>
            <w:r>
              <w:rPr>
                <w:rFonts w:ascii="SimSun" w:hAnsi="SimSun" w:cs="SimSun" w:hint="eastAsia"/>
                <w:color w:val="FF0000"/>
                <w:sz w:val="24"/>
                <w:szCs w:val="24"/>
                <w:lang w:eastAsia="zh-CN" w:bidi="ar"/>
              </w:rPr>
              <w:t xml:space="preserve">1. 解释数据可视化与视觉编码的基本理论，分析数据类型、视觉通道映射规律，并评价跨学科知识在信息可视化设计中的整合策略</w:t>
            </w:r>
            <w:bookmarkEnd w:id="20"/>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485"/>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阐述数据抽象分类体系与 Tidy Data 整洁数据规范，构建面向大语言模型的结构化数据建模策略并验证其有效性</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列举网络拓扑、空间数据与交互操作的可视化原理及其差异，比较 Scrollytelling 叙事架构的设计方法论与传统展示方式的适用场景</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2 专业知识</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color w:val="FF0000"/>
              </w:rPr>
            </w:pPr>
            <w:r>
              <w:rPr>
                <w:rFonts w:ascii="SimSun" w:eastAsia="SimSun" w:hAnsi="SimSun" w:cs="SimSun" w:hint="eastAsia"/>
                <w:b/>
                <w:bCs/>
                <w:color w:val="FF0000"/>
                <w:lang w:eastAsia="zh-CN" w:bidi="ar"/>
              </w:rPr>
              <w:t>能力目标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能够通过自然语言建模，灵活驱动 D3 或 ECharts 等高级框架进行复杂交互叙事的生成</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4 实际应用能力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能综合运用嵌套模型验证法与数据调研策略，独立完成从议题选择到交互原型设计的全流程规划</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804F1">
            <w:pPr>
              <w:pStyle w:val="a4"/>
              <w:widowControl w:val="0"/>
              <w:autoSpaceDE w:val="0"/>
              <w:spacing w:before="40" w:after="40" w:line="400" w:lineRule="exact"/>
              <w:jc w:val="both"/>
              <w:rPr>
                <w:rFonts w:ascii="SimSun" w:eastAsia="SimSun" w:hAnsi="SimSun" w:cs="SimSun"/>
                <w:color w:val="FF0000"/>
                <w:lang w:eastAsia="zh-CN"/>
              </w:rPr>
            </w:pPr>
            <w:r w:rsidRPr="007804F1">
              <w:rPr>
                <w:rFonts w:ascii="SimSun" w:eastAsia="SimSun" w:hAnsi="SimSun" w:cs="SimSun"/>
                <w:color w:val="FF0000"/>
                <w:lang w:eastAsia="zh-CN" w:bidi="ar"/>
              </w:rPr>
              <w:t xml:space="preserve">3 创造性思维</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lang w:eastAsia="zh-CN"/>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能运用矢量精修工具与生成艺术技法，将抽象数据转化为具有视觉冲击力与人文深度的数据艺术作品</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4 实际应用能力</w:t>
            </w:r>
          </w:p>
        </w:tc>
      </w:tr>
      <w:tr w:rsidR="0029486A">
        <w:trPr>
          <w:trHeight w:val="218"/>
        </w:trPr>
        <w:tc>
          <w:tcPr>
            <w:tcW w:w="512" w:type="dxa"/>
            <w:vMerge w:val="restart"/>
            <w:tcBorders>
              <w:left w:val="single" w:sz="4" w:space="0" w:color="000000"/>
              <w:bottom w:val="single" w:sz="4" w:space="0" w:color="000000"/>
              <w:right w:val="single" w:sz="4" w:space="0" w:color="000000"/>
            </w:tcBorders>
            <w:vAlign w:val="center"/>
          </w:tcPr>
          <w:p w:rsidR="0029486A" w:rsidRDefault="00000000">
            <w:pPr>
              <w:pStyle w:val="a4"/>
              <w:widowControl w:val="0"/>
              <w:autoSpaceDE w:val="0"/>
              <w:spacing w:before="40" w:after="40" w:line="400" w:lineRule="exact"/>
              <w:jc w:val="center"/>
              <w:rPr>
                <w:rFonts w:ascii="SimSun" w:eastAsia="SimSun" w:hAnsi="SimSun" w:cs="SimSun"/>
                <w:b/>
                <w:bCs/>
                <w:color w:val="FF0000"/>
              </w:rPr>
            </w:pPr>
            <w:r>
              <w:rPr>
                <w:rFonts w:ascii="SimSun" w:eastAsia="SimSun" w:hAnsi="SimSun" w:cs="SimSun" w:hint="eastAsia"/>
                <w:b/>
                <w:bCs/>
                <w:color w:val="FF0000"/>
                <w:lang w:eastAsia="zh-CN" w:bidi="ar"/>
              </w:rPr>
              <w:t>素质目标</w:t>
            </w: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1. 具备运用现代信息技术手段获取、整理与呈现数据的能力，能以数字信息化手段系统性解决可视化项目问题</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2. 具备数据治理中的诚信与规范意识，能在数据获取和可视化呈现中坚守学术伦理底线</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5 信息能力</w:t>
            </w:r>
          </w:p>
        </w:tc>
      </w:tr>
      <w:tr w:rsidR="0029486A">
        <w:trPr>
          <w:trHeight w:val="218"/>
        </w:trPr>
        <w:tc>
          <w:tcPr>
            <w:tcW w:w="512" w:type="dxa"/>
            <w:vMerge/>
            <w:tcBorders>
              <w:left w:val="single" w:sz="4" w:space="0" w:color="000000"/>
              <w:bottom w:val="single" w:sz="4" w:space="0" w:color="000000"/>
              <w:right w:val="single" w:sz="4" w:space="0" w:color="000000"/>
            </w:tcBorders>
            <w:vAlign w:val="center"/>
          </w:tcPr>
          <w:p w:rsidR="0029486A" w:rsidRDefault="0029486A">
            <w:pPr>
              <w:snapToGrid w:val="0"/>
              <w:rPr>
                <w:color w:val="FF0000"/>
              </w:rPr>
            </w:pPr>
          </w:p>
        </w:tc>
        <w:tc>
          <w:tcPr>
            <w:tcW w:w="3740" w:type="dxa"/>
            <w:tcBorders>
              <w:top w:val="single" w:sz="4" w:space="0" w:color="000000"/>
              <w:left w:val="single" w:sz="4" w:space="0" w:color="000000"/>
              <w:bottom w:val="single" w:sz="4" w:space="0" w:color="000000"/>
              <w:right w:val="single" w:sz="4" w:space="0" w:color="000000"/>
            </w:tcBorders>
          </w:tcPr>
          <w:p w:rsidR="0029486A" w:rsidRDefault="00000000">
            <w:pPr>
              <w:pStyle w:val="a4"/>
              <w:widowControl w:val="0"/>
              <w:tabs>
                <w:tab w:val="left" w:pos="603"/>
              </w:tabs>
              <w:autoSpaceDE w:val="0"/>
              <w:spacing w:before="40" w:after="40" w:line="400" w:lineRule="exact"/>
              <w:jc w:val="both"/>
              <w:rPr>
                <w:rFonts w:ascii="SimSun" w:eastAsia="SimSun" w:hAnsi="SimSun" w:cs="SimSun"/>
                <w:color w:val="FF0000"/>
                <w:lang w:eastAsia="zh-CN"/>
              </w:rPr>
            </w:pPr>
            <w:r>
              <w:rPr>
                <w:rFonts w:ascii="SimSun" w:eastAsia="SimSun" w:hAnsi="SimSun" w:cs="SimSun" w:hint="eastAsia"/>
                <w:color w:val="FF0000"/>
                <w:lang w:eastAsia="zh-CN" w:bidi="ar"/>
              </w:rPr>
              <w:t xml:space="preserve">3. 能以数据艺术作品关照文化保护与社会公平等议题，在项目展示与互评中体现专业诚信与社会责任意识</w:t>
            </w:r>
          </w:p>
        </w:tc>
        <w:tc>
          <w:tcPr>
            <w:tcW w:w="2521" w:type="dxa"/>
            <w:tcBorders>
              <w:top w:val="single" w:sz="4" w:space="0" w:color="000000"/>
              <w:left w:val="single" w:sz="4" w:space="0" w:color="000000"/>
              <w:bottom w:val="single" w:sz="4" w:space="0" w:color="000000"/>
              <w:right w:val="single" w:sz="4" w:space="0" w:color="000000"/>
            </w:tcBorders>
          </w:tcPr>
          <w:p w:rsidR="0029486A" w:rsidRDefault="00746622">
            <w:pPr>
              <w:pStyle w:val="a4"/>
              <w:widowControl w:val="0"/>
              <w:autoSpaceDE w:val="0"/>
              <w:spacing w:before="40" w:after="40" w:line="400" w:lineRule="exact"/>
              <w:jc w:val="both"/>
              <w:rPr>
                <w:rFonts w:ascii="SimSun" w:eastAsia="SimSun" w:hAnsi="SimSun" w:cs="SimSun"/>
                <w:color w:val="FF0000"/>
                <w:lang w:eastAsia="zh-CN"/>
              </w:rPr>
            </w:pPr>
            <w:r w:rsidRPr="00746622">
              <w:rPr>
                <w:rFonts w:ascii="SimSun" w:eastAsia="SimSun" w:hAnsi="SimSun" w:cs="SimSun"/>
                <w:color w:val="FF0000"/>
                <w:lang w:eastAsia="zh-CN" w:bidi="ar"/>
              </w:rPr>
              <w:t xml:space="preserve">6 沟通表达</w:t>
            </w:r>
          </w:p>
        </w:tc>
      </w:tr>
    </w:tbl>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数据作为媒介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1.1 认知外显：视觉系统、格式塔重构与自然语言建模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理解数据可视化的基本概念与发展历程，掌握可视化有效性的基本分析框架；初步体验无代码可视化工具与自然语言建模的映射关系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可视化有效性的 What/Why/How 三大基石</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自然语言到视觉元素的映射关系理解</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结合中国大数据发展战略，认识数据可视化在国家治理与社会服务中的作用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理论讲授、案例演示、工具实操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视觉叙事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2.1 不仅是数据，更是隐喻：构建符号的艺术表达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掌握视觉标记与通道的有效性法则，理解图表类型的符号隐喻机理；能运用 AI 辅助工具进行基础图表的艺术化生成与矢量精修；培养文化审美自觉，理解中西视觉叙事差异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标记 (Marks) 与通道 (Channels) 的有效性排序法则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如何基于数据语义选择恰当的视觉隐喻而非简单堆砌装饰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对比中西视觉叙事传统中的信息表达差异，培养文化审美自觉</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理论讲授、案例对比分析、AI 辅助生成实操、矢量设计实践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数据提炼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3.1 看不见的冰山：从数据抽象到重塑 (Data Abstraction &amp; Tidy Data)</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参考教材：Munzner Ch2 What：数据抽象；Munzner Ch3 Why：任务抽象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理解数据抽象与任务抽象的理论框架，掌握面向大模型的数据定义策略；能独立完成复杂数据的结构化建模与清洗；培养严谨求实的数据素养，强调数据治理中的诚信与规范意识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数据类型抽象与 Tidy Data 规范化建模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如何将非结构化的现实世界数据转化为面向大模型的规范化自然语言描述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强调数据治理中的诚信与规范意识，培养严谨求实的数据素养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理论讲授、作品解码分析、数据建模实操、AI 辅助清洗演练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声明式生成</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4.1 驾驭复杂：高低阶框架的语言驱动策略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参考教材：《信息可视化设计》第四章 信息可视化设计师／团队和优秀作品案例；Munzner Ch7 表格数据排布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掌握高低阶可视化框架的核心差异与应用场景；能运用自然语言精准驱动 ECharts 与 D3.js 进行图表生成与深层定制；培养人脑构思架构与 AI 填充代码的 Vibe 工作流协作感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ECharts 声明式配置与 D3.js 底层定制的差异化应用策略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理解 D3.js 坐标系边界约束及高效运作沙箱提取绝美矢量图纸的组合方案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以国产开源框架 ECharts 的全球影响力为例，增强技术自信与开源贡献意识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理论讲授、框架对比演示、Vibe Coding 实操、协作调试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数据情绪</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5.1 无形之境：网络拓扑、地缘隐喻与力导向生成艺术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理解空间数据与网络结构的拓扑可视化原理，掌握力导向图等生成艺术形态的创作方法；能将抽象情感数据映射为视觉作品；探讨数据艺术的社会责任，结合中国社会网络研究案例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力导向图 (Force-directed) 等具有生成艺术属性的可视化形态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如何将抽象的情感数据与粒子系统、动态链接有机结合以实现艺术表达</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结合中国社会网络与文化传播研究案例，探讨数据艺术的社会责任</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理论讲授、生成艺术案例赏析、D3 力导向实操、创意表达实验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空间流动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6.1 滑动揭秘：以现代滚动叙事导演数据图景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理解交互操作的三大操作族与 Scrollytelling 三层架构模型；能构建动效分镜表并运用结构化 Prompt 指导 AI 搭建完整滚动叙事页面；培养导演式叙事思维，理解交互设计的人文关怀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以 GSAP/ScrollTrigger 为代表的现代滚动叙事架构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如何设计合理的动效分镜表使读者滚动时自然感知数据故事的节奏变化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以中国数据新闻（如澎湃新闻）为例，展示本土交互叙事创新</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理论讲授、灾难案例赏析、分镜白板推演、全栈 Prompt 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综合项目启动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7.1 洞察与共鸣：从宏大议题到人文关怀的原型设计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掌握嵌套模型验证方法与宏大社会议题数据调研策略；能综合运用前序周次的全部技能进行复杂项目的架构设计；培养对文化保护、生态等社会议题的人文关怀与责任意识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运用嵌套模型 (Nested Model) 系统验证可视化设计决策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如何从宏大的社会议题中提炼出具有数据支撑和人文关怀的可视化切入点</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以中国文化保护与生态治理数据为载体，培养社会责任感与家国情怀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理论讲授、案例驱动、项目制学习、互评研讨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终极冲刺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8.1 大音希声：全链路生成、艺术封装与项目上线</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参考教材：《信息可视化设计》全书综合复习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综合复盘可视化全流程编码规则与项目整合排错方法；完成从原型到部署的全链路数字产品交付；在公开评审中锤炼专业批判与建设性反馈能力，坚守艺术的人文关怀底线</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全链路生成创作流程的整合与交互叙事的前端封装</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在技术实现与艺术表达之间取得平衡，完成高完成度的综合可视化作品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在项目展示与互评中体现专业诚信与知识产权尊重意识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理论讲授、全链路排错实操、艺术封装实践、Peer Critique 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2学时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3学时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郝亚维, 张博文.信息可视化设计[M].电子工业出版社,2023.</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Tamara Munzner.Visualization Analysis &amp; Design[M].CRC Press,2014.</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(2)软件支持：Adobe Figma、Figma、Visual Studio Code、Node.js、RAWGraphs、FFmpeg、AI 辅助工具及 Python 运行环境。</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章节测试1（10%）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对应实验1「数据获取与清洗」。考核要求：按规范完成数据抓取与结构化重组任务，产出符合Tidy Data标准的清洗数据集及过程文档。</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章节测试2（15%）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对应实验2「静态图表设计」。考核要求：完成具有合理视觉隐喻的静态图表设计，体现Marks与Channels有效性法则及视觉编码原理的运用。</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章节测试3（15%）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对应实验3「交互可视化开发」。考核要求：运用D3.js或ECharts等框架实现具有响应式反馈的可视化交互组件，体现Vibe Coding自然语言驱动的协作能力。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