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AI Agents 驱动的个人作品集网站实现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2023级数字媒体艺术影视班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2实107;3实312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（一）掌握文件夹与项目结构管理。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 Markdown 文档编写规范与应用。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（三）掌握与 AI Agent 进行角色化、结构化的对话技巧。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（四）理解软件开发从需求探索到架构规划再到代码落地的完整工作流。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硬件：个人计算机（学校机房或自备笔记本）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必需工具：VS Code 及 AI 账号（讨论型推荐 DeepSeek/ChatGPT/Gemini、执行型推荐装有 GLM5.1 模型的 CodeGeeX 插件，或 Cursor/Windsurf 等 AI IDE）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3. 准备素材：项目初始模板压缩包（含 agents/ 指令文件夹与示例图文素材），跟随教师演示理解开发流程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与虚拟分析师、PM、UX专家、架构师依次进行结构化对话，递进生成业务与设计文档。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用自然语言描述素材间关系，构建结构化说明（README.md）。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挂载所有文档作为上下文，通过极简指令驱动执行型 Agent 生成代码。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在本地浏览器中测试页面渲染与导航功能。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