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第八次课教案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第8章  视觉重构：深度与防错</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课程重点讲解数字界面的视觉深度构造以及边缘状态与防错兜底体系的设计。从早期的拟物化、扁平化历史沿革切入，深入阐释利用“全局顶光源”和“多重阴影”建立Z轴海拔系统的法则。随后，课程打破传统的“理想路径偏见”，系统讲解如何在系统无数据（空箱）、加载延迟或弱网等边缘状态下，利用共情文案、骨架屏和明确的CTA构筑安全与转化网。最后，引入工业级的“防呆（Poka-Yoke）”理念，强调通过前置防错、认知摩擦与撤销机制（Undo）代替无效的警告弹窗，以系统化工程思维确保核心交互流程的绝对安全。</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14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知识目标：掌握界面物理深度的构建手段</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能力目标：重点理解并补全极端情境（空状态、报错等）的防错与宽容度设计</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重点：1. 基于全局顶光源和双重阴影机制建立UI组件的Z轴物理高度体系；2. 突破理想路径偏见的边缘与异常状态空箱设计策略；3. 运用防错与防呆原理打造系统操作安全防护网。</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难点：1. 在没有阴影支持的极致扁平环境中利用明度落差和物理遮挡建立层级关系；2. 扭转开发者对异常报错的冷漠态度，将空箱状态转化为有温度的情感沟通与行动引导契机；3. 科学拿捏高危操作时的“认知摩擦力”，设计合理的业务破坏挽救与延时撤销通道。</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UI》创造深度</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UI》收尾润色</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项目导引、边缘错误案例分析、防错页面设计实操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教学组织复习前期色彩布局，引入二维屏幕的认知局限，讲解全局顶光源法则，结合UI发展史阐释光影对交互层级的重要作用。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教学组织解构Material Design量子纸张模型与系统海拔层级，讲解高级双阴影合成技术，并教授受限无光影环境下的降维层级建立法。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教学组织剖析理想路径偏见危害，提出应对空箱状态的三根护心柱策略，结合经典案例探讨网络断连、骨架屏加载等边缘场景设计。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教学组织通过重大灾难案例引入物理级防呆理念，讲解前置格式防错、有意认知摩擦力与宽容可逆机制（Undo系统）的防卫阵线构建。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教学组织工作坊环节：落地实践项目2。配置多层级阴影Token，完善含引导特性的空箱体系，并完成基于撤销策略的安全防错代码重构。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教学组织总结隐形防错兜底作为系统信任基石的巨大价值，通过航空防呆与医疗事故案例的对比，升华前端工程师与架构师的安全伦理责任。</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完成“实践项目2”：配置至少包含三级高度的Design Token全局阴影变量库；落地带有占位图、引导文案与CTA的5个边缘状态/空箱界面；并重构破坏性流程操作，运用带倒计时的撤销（Undo/Redo）机制替换原生生硬的确认弹窗。</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