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多维信息可视化系统综合设计与实现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（一）能够独立完成从原始数据处理（数据到数据转换）到最终视觉呈现的全流程。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（二）针对不同卷面主题（A卷：面向生活，B卷：面向消费平台），展现准确的情感表达与深度的价值洞察。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（三）灵活运用不限工具，掌握手绘隐喻表达或数据计算驱动的图表制作能力。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硬件：个人计算机或手绘工具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软件/工具：不限（可使用 D3.js、RAWGraphs、Figma、PS、AI、或马克笔、水彩等传统手绘工具）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明确卷面主题（生活类 vs 商业类），进行目标数据搜集或模拟。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执行"数据到数据转换"：完成数据的聚合、过滤、重计算或结构映射。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制定视觉隐喻与通道映射策略。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使用自选工具（数字或手绘）完成最终可视化产出。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提交作品并撰写综合报告。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