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  前沿动效组件融入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10.1 前端交互特效融合机制；微观反馈的理论支撑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10.2 AI代码助手驱动实现跟随/粒子等基础创意动效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18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知识目标：认知微动效在提供反馈与情感化设计中的重要作用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能力目标：掌握通过 AI 辅助植入创意前端动效的协作流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重点：微交互反馈的作用机制与创意动效代码的组件级融合方法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难点：在保证核心主线流畅的前提下，以无缝不违和的方式接入外部复杂特效组件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4)》第十一章 编排与心流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理论讲授、优秀动效组件赏析、AI 驱动特效接入实拍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W09 AI 壳层生成成果，引出视觉增强需求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【教学组织】播放同一应用的无动效版与精雕动效版录屏对比，感受微交互的生命力差异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【教学组织】微交互反馈理论（Saffer 模型）、动效组件融合机制、AI 动效代码协作流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【课程思政融入点】融入创新意识，展现审美创造力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【教学组织】AI 驱动植入跟随/粒子/转场等创意动效组件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【教学组织】动效演示互评，预告排障与兜底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为项目原型植入至少 2 个创意微动效（如跟手粒子/页面转场/hover 反馈），提交动效演示录屏与 AI 协作对话截图。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