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数据获取与清洗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（一）建立数据处理基础意识，掌握将原始数据规范化为可视化就绪格式的完整流程。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（二）能使用 Python（Pandas）或 AI 辅助识别缺失值、异常值，完成数据清洗。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 Tidy Data 规范，将数据重构为每行一观测、每列一变量的标准格式。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10+；Python / Jupyter Notebook、Excel（可选）、AI 辅助工具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从 Kaggle / 政府开放平台下载真实数据集（CSV / JSON）。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使用 Python（Pandas）或 AI 辅助识别缺失值、异常值，完成数据清洗。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将数据重构为 Tidy Data 格式（每行一个观测，每列一个变量）。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撰写数据描述报告：数据来源、字段说明、清洗决策记录。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