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第二次课教案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第2章  视觉叙事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2.1 不仅是数据，更是隐喻：构建符号的艺术表达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8 周，周日7-11节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11 周，周五1-5节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5学时（理论3，实践2）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能够通过自然语言建模，灵活驱动 D3 或 ECharts 等高级框架进行复杂交互叙事的生成。支撑课程能力目标（1），对应毕业要求4。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能运用矢量精修工具与生成艺术技法，将抽象数据转化为具有视觉冲击力与人文深度的数据艺术作品。支撑课程能力目标（3），对应毕业要求4。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知识目标：掌握视觉标记与通道的有效性法则，理解图表类型的符号隐喻机理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能力目标：能运用 AI 辅助工具进行基础图表的艺术化生成与矢量精修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素质目标：培养文化审美自觉，理解中西视觉叙事差异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重点：标记 (Marks) 与通道 (Channels) 的有效性排序法则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难点：如何基于数据语义选择恰当的视觉隐喻而非简单堆砌装饰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《信息可视化设计》第三章 信息图表类型与现代信息设计工具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Munzner Ch5/Ch6 标记与通道；经验法则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理论讲授、案例对比分析、AI 辅助生成实操、矢量设计实践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W01 核心概念：可视化作为认知外包，前注意处理原理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【教学组织】图表类型的时空隐喻——从 Excel 下拉菜单中跳出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【教学组织】标记与通道有效性法则、视觉弹出死亡边界、数据墨水比原则与反 3D 饼图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【时间安排】约95分钟（2.1理论学时）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【课程思政融入点】对比中西视觉叙事传统中的信息表达差异，培养文化审美自觉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【教学组织】Mini-Lab 介绍：电影作为数据——Movie Barcode 色彩指纹演示，展示逐帧色彩提取与 Marks/Channels 映射关系（待定拓展实践，详见 knowledge/notes/film-as-data-cinematic-visualization.md）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【教学组织】教师预制标本通道审计（Black Museum） + Figma SVG 外科手术精修三阶段对比实验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【时间安排】约75分钟（1.7实践学时）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【教学组织】总结标记-通道-隐喻三位一体的设计语法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从真实世界（新闻/财报/报告）狩猎一张通道映射严重错误的劣质数据图，结合实验1清洗后的 Tidy 数据集，在 Figma 中按 Munzner 通道有效性与数据墨水比原则进行三阶段重建精修，提交三阶段对比图 + 300 字通道决策报告。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