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信息可视化设计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40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2.0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24数字媒体艺术影视班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信息可视化设计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CNFU003847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5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解释数据可视化与视觉编码的基本理论，分析数据类型、视觉通道映射规律，并评价跨学科知识在信息可视化设计中的整合策略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阐述数据抽象分类体系与 Tidy Data 整洁数据规范，构建面向大语言模型的结构化数据建模策略并验证其有效性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列举网络拓扑、空间数据与交互操作的可视化原理及其差异，比较 Scrollytelling 叙事架构的设计方法论与传统展示方式的适用场景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能够通过自然语言建模，灵活驱动 D3 或 ECharts 等高级框架进行复杂交互叙事的生成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能综合运用嵌套模型验证法与数据调研策略，独立完成从议题选择到交互原型设计的全流程规划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能运用矢量精修工具与生成艺术技法，将抽象数据转化为具有视觉冲击力与人文深度的数据艺术作品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具备运用现代信息技术手段获取、整理与呈现数据的能力，能以数字信息化手段系统性解决可视化项目问题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具备数据治理中的诚信与规范意识，能在数据获取和可视化呈现中坚守学术伦理底线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能以数据艺术作品关照文化保护与社会公平等议题，在项目展示与互评中体现专业诚信与社会责任意识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郝亚维, 张博文.信息可视化设计[M].电子工业出版社,2023.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Tamara Munzner.Visualization Analysis &amp; Design[M].CRC Press,2014.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(2)软件支持：Adobe Figma、Figma、Visual Studio Code、Node.js、RAWGraphs、FFmpeg、AI 辅助工具及 Python 运行环境。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7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1-5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数据作为媒介：格式塔感知与 Vibe 范式初探
1.1 认知外显：视觉系统、格式塔重构与自然语言建模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视觉叙事与符号隐喻
2.1 不仅是数据，更是隐喻：构建符号的艺术表达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7-11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数据提炼与自然语言建模 (Specification)
3.1 看不见的冰山：从数据抽象到重塑 (Data Abstraction &amp; Tidy Data)
（Munzner §2；Munzner §3）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9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声明式生成 (ECharts) 与深层定制 (D3) 的 Vibe 指挥术
4.1 驾驭复杂：高低阶框架的语言驱动策略
（《信息可视化设计》§4；Munzner §7）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数据情绪与生成艺术
5.1 无形之境：网络拓扑、地缘隐喻与力导向生成艺术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11-15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空间流动与事件叙事
6.1 滑动揭秘：以现代滚动叙事导演数据图景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11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周日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7-11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综合项目启动：文化/社会议题的数据调研
7.1 洞察与共鸣：从宏大议题到人文关怀的原型设计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