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5D2130" w:rsidRPr="00A84FA5" w:rsidRDefault="00000000">
      <w:pPr>
        <w:jc w:val="center"/>
        <w:rPr>
          <w:rFonts w:ascii="Songti TC" w:eastAsia="Songti TC" w:hAnsi="Songti TC" w:cs="Microsoft YaHei"/>
          <w:bCs/>
          <w:spacing w:val="20"/>
          <w:sz w:val="36"/>
        </w:rPr>
      </w:pPr>
      <w:r w:rsidRPr="00A84FA5">
        <w:rPr>
          <w:rFonts w:ascii="Songti TC" w:eastAsia="Songti TC" w:hAnsi="Songti TC" w:cs="Microsoft YaHei" w:hint="eastAsia"/>
          <w:bCs/>
          <w:spacing w:val="20"/>
          <w:sz w:val="36"/>
        </w:rPr>
        <w:t xml:space="preserve">第一次课教案</w:t>
      </w:r>
    </w:p>
    <w:tbl>
      <w:tblPr>
        <w:tblW w:w="8950" w:type="dxa"/>
        <w:tblInd w:w="-4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ook w:val="0000" w:firstRow="0" w:lastRow="0" w:firstColumn="0" w:lastColumn="0" w:noHBand="0" w:noVBand="0"/>
      </w:tblPr>
      <w:tblGrid>
        <w:gridCol w:w="1246"/>
        <w:gridCol w:w="3894"/>
        <w:gridCol w:w="3810"/>
      </w:tblGrid>
      <w:tr w:rsidR="005D2130">
        <w:trPr>
          <w:trHeight w:val="567"/>
        </w:trPr>
        <w:tc>
          <w:tcPr>
            <w:tcW w:w="1246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FF0000"/>
                <w:kern w:val="0"/>
                <w:sz w:val="24"/>
              </w:rPr>
              <w:t>授课章节</w:t>
            </w:r>
          </w:p>
        </w:tc>
        <w:tc>
          <w:tcPr>
            <w:tcW w:w="7704" w:type="dxa"/>
            <w:gridSpan w:val="2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 w:firstLineChars="100" w:firstLine="240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FF0000"/>
                <w:kern w:val="0"/>
                <w:sz w:val="24"/>
              </w:rPr>
              <w:t xml:space="preserve">项目一  交互体系概论基础</w:t>
            </w:r>
          </w:p>
        </w:tc>
      </w:tr>
      <w:tr w:rsidR="005D2130">
        <w:trPr>
          <w:trHeight w:val="567"/>
        </w:trPr>
        <w:tc>
          <w:tcPr>
            <w:tcW w:w="1246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FF0000"/>
                <w:kern w:val="0"/>
                <w:sz w:val="24"/>
              </w:rPr>
              <w:t>授课内容</w:t>
            </w:r>
          </w:p>
        </w:tc>
        <w:tc>
          <w:tcPr>
            <w:tcW w:w="7704" w:type="dxa"/>
            <w:gridSpan w:val="2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 w:firstLineChars="100" w:firstLine="240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FF0000"/>
                <w:kern w:val="0"/>
                <w:sz w:val="24"/>
              </w:rPr>
              <w:t xml:space="preserve">1.1 交互与UX的本质定义；可用性与体验目标</w:t>
            </w:r>
          </w:p>
          <w:p>
            <w:pPr>
              <w:widowControl/>
              <w:spacing w:before="40" w:after="40" w:line="400" w:lineRule="exact"/>
              <w:ind w:left="57" w:firstLineChars="100" w:firstLine="240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FF0000"/>
                <w:kern w:val="0"/>
                <w:sz w:val="24"/>
              </w:rPr>
              <w:t xml:space="preserve">1.2 产品体验的逆向拆解实验</w:t>
            </w:r>
          </w:p>
        </w:tc>
      </w:tr>
      <w:tr w:rsidR="005D2130">
        <w:trPr>
          <w:trHeight w:val="951"/>
        </w:trPr>
        <w:tc>
          <w:tcPr>
            <w:tcW w:w="1246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授课</w:t>
            </w: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时间</w:t>
            </w:r>
          </w:p>
        </w:tc>
        <w:tc>
          <w:tcPr>
            <w:tcW w:w="7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 w:firstLineChars="100" w:firstLine="240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 xml:space="preserve">2023级数字媒体艺术影视班：第 1 周，周三2-5节</w:t>
            </w:r>
          </w:p>
        </w:tc>
      </w:tr>
      <w:tr w:rsidR="005D2130">
        <w:trPr>
          <w:trHeight w:val="565"/>
        </w:trPr>
        <w:tc>
          <w:tcPr>
            <w:tcW w:w="1246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学时数</w:t>
            </w:r>
          </w:p>
        </w:tc>
        <w:tc>
          <w:tcPr>
            <w:tcW w:w="7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 xml:space="preserve">4学时（实践）</w:t>
            </w:r>
          </w:p>
        </w:tc>
      </w:tr>
      <w:tr w:rsidR="005D2130">
        <w:trPr>
          <w:trHeight w:val="2422"/>
        </w:trPr>
        <w:tc>
          <w:tcPr>
            <w:tcW w:w="1246" w:type="dxa"/>
            <w:tcBorders>
              <w:top w:val="single" w:sz="8" w:space="0" w:color="auto"/>
              <w:left w:val="single" w:sz="12" w:space="0" w:color="auto"/>
              <w:bottom w:val="single" w:sz="8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支撑课程目标</w:t>
            </w:r>
          </w:p>
        </w:tc>
        <w:tc>
          <w:tcPr>
            <w:tcW w:w="7704" w:type="dxa"/>
            <w:gridSpan w:val="2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1. 描述交互产品从用户痛点洞察、MVP 假设驱动、状态机架构到 AI 辅助原型生成与可用性验证的完整创作流程，并演示各阶段的关键产出物。</w:t>
            </w:r>
          </w:p>
        </w:tc>
      </w:tr>
      <w:tr w:rsidR="005D2130">
        <w:trPr>
          <w:trHeight w:val="2422"/>
        </w:trPr>
        <w:tc>
          <w:tcPr>
            <w:tcW w:w="1246" w:type="dxa"/>
            <w:tcBorders>
              <w:top w:val="single" w:sz="8" w:space="0" w:color="auto"/>
              <w:left w:val="single" w:sz="12" w:space="0" w:color="auto"/>
              <w:bottom w:val="single" w:sz="8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教学目标</w:t>
            </w:r>
          </w:p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与要求</w:t>
            </w:r>
          </w:p>
        </w:tc>
        <w:tc>
          <w:tcPr>
            <w:tcW w:w="7704" w:type="dxa"/>
            <w:gridSpan w:val="2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:rsidR="005D2130" w:rsidRPr="00847CC0" w:rsidRDefault="00000000"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sz w:val="24"/>
              </w:rPr>
            </w:pPr>
            <w:r w:rsidRPr="00847CC0">
              <w:rPr>
                <w:rFonts w:ascii="FangSong_GB2312" w:eastAsia="FangSong_GB2312" w:hAnsi="FangSong_GB2312" w:cs="FangSong_GB2312" w:hint="eastAsia"/>
                <w:sz w:val="24"/>
              </w:rPr>
              <w:t xml:space="preserve">知识目标：理解交互设计与用户体验的区别与联系，掌握核心可用性原则</w:t>
            </w:r>
          </w:p>
        </w:tc>
      </w:tr>
      <w:tr w:rsidR="005D2130">
        <w:trPr>
          <w:trHeight w:val="90"/>
        </w:trPr>
        <w:tc>
          <w:tcPr>
            <w:tcW w:w="1246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top w:w="85" w:type="dxa"/>
              <w:left w:w="57" w:type="dxa"/>
              <w:bottom w:w="85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教学重点</w:t>
            </w:r>
          </w:p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与难点</w:t>
            </w:r>
          </w:p>
        </w:tc>
        <w:tc>
          <w:tcPr>
            <w:tcW w:w="7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top w:w="85" w:type="dxa"/>
              <w:left w:w="57" w:type="dxa"/>
              <w:right w:w="57" w:type="dxa"/>
            </w:tcMar>
          </w:tcPr>
          <w:p w:rsidR="005D2130" w:rsidRPr="00847CC0" w:rsidRDefault="00000000"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bCs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bCs/>
                <w:color w:val="333333"/>
                <w:kern w:val="0"/>
                <w:sz w:val="24"/>
              </w:rPr>
              <w:t xml:space="preserve">重点：交互设计的本质定义与可用性目标评估标准</w:t>
            </w:r>
          </w:p>
          <w:p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bCs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bCs/>
                <w:color w:val="333333"/>
                <w:kern w:val="0"/>
                <w:sz w:val="24"/>
              </w:rPr>
              <w:t xml:space="preserve">难点：如何在具体产品分析中准确区分交互的易用性与整体体验感</w:t>
            </w:r>
          </w:p>
        </w:tc>
      </w:tr>
      <w:tr w:rsidR="005D2130">
        <w:trPr>
          <w:trHeight w:val="2054"/>
        </w:trPr>
        <w:tc>
          <w:tcPr>
            <w:tcW w:w="1246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top w:w="85" w:type="dxa"/>
              <w:left w:w="57" w:type="dxa"/>
              <w:bottom w:w="85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学生课前阅读材料与其他准备</w:t>
            </w:r>
          </w:p>
        </w:tc>
        <w:tc>
          <w:tcPr>
            <w:tcW w:w="7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top w:w="85" w:type="dxa"/>
              <w:left w:w="57" w:type="dxa"/>
              <w:right w:w="57" w:type="dxa"/>
            </w:tcMar>
          </w:tcPr>
          <w:p w:rsidR="005D2130" w:rsidRPr="00847CC0" w:rsidRDefault="00000000"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" w:eastAsia="FangSong" w:hAnsi="FangSong" w:cs="FangSong_GB2312"/>
                <w:bCs/>
                <w:color w:val="333333"/>
                <w:kern w:val="0"/>
                <w:sz w:val="24"/>
              </w:rPr>
            </w:pPr>
            <w:r>
              <w:rPr>
                <w:rFonts w:ascii="FangSong" w:eastAsia="FangSong" w:hAnsi="FangSong" w:cs="FangSong_GB2312" w:hint="eastAsia"/>
                <w:bCs/>
                <w:color w:val="333333"/>
                <w:kern w:val="0"/>
                <w:sz w:val="24"/>
              </w:rPr>
              <w:t xml:space="preserve">必读书目：</w:t>
            </w:r>
          </w:p>
          <w:p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" w:eastAsia="FangSong" w:hAnsi="FangSong" w:cs="FangSong_GB2312"/>
                <w:bCs/>
                <w:color w:val="333333"/>
                <w:kern w:val="0"/>
                <w:sz w:val="24"/>
              </w:rPr>
            </w:pPr>
            <w:r>
              <w:rPr>
                <w:rFonts w:ascii="FangSong" w:eastAsia="FangSong" w:hAnsi="FangSong" w:cs="FangSong_GB2312" w:hint="eastAsia"/>
                <w:bCs/>
                <w:color w:val="333333"/>
                <w:kern w:val="0"/>
                <w:sz w:val="24"/>
              </w:rPr>
              <w:t xml:space="preserve">Yvonne Rogers, Helen Sharp, Jennifer Preece 著；刘晓晖 等译：交互设计：超越人机交互（原书第5版）[M]. 机械工业出版社, 2020.</w:t>
            </w:r>
          </w:p>
        </w:tc>
      </w:tr>
      <w:tr w:rsidR="005D2130">
        <w:trPr>
          <w:trHeight w:val="1624"/>
        </w:trPr>
        <w:tc>
          <w:tcPr>
            <w:tcW w:w="1246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top w:w="85" w:type="dxa"/>
              <w:left w:w="57" w:type="dxa"/>
              <w:bottom w:w="85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教学方法</w:t>
            </w:r>
          </w:p>
        </w:tc>
        <w:tc>
          <w:tcPr>
            <w:tcW w:w="7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top w:w="85" w:type="dxa"/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Chars="50" w:left="105" w:rightChars="50" w:right="105"/>
              <w:jc w:val="center"/>
              <w:rPr>
                <w:rFonts w:ascii="FangSong_GB2312" w:eastAsia="FangSong_GB2312" w:hAnsi="FangSong_GB2312" w:cs="FangSong_GB2312"/>
                <w:color w:val="FF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理论讲授、案例分析、产品逆向体验拆解小组实战</w:t>
            </w:r>
          </w:p>
        </w:tc>
      </w:tr>
      <w:tr w:rsidR="005D2130">
        <w:trPr>
          <w:trHeight w:val="648"/>
        </w:trPr>
        <w:tc>
          <w:tcPr>
            <w:tcW w:w="1246" w:type="dxa"/>
            <w:vMerge w:val="restart"/>
            <w:tcBorders>
              <w:top w:val="single" w:sz="4" w:space="0" w:color="auto"/>
              <w:left w:val="single" w:sz="12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ind w:left="57"/>
              <w:jc w:val="center"/>
              <w:rPr>
                <w:rFonts w:ascii="FangSong_GB2312" w:eastAsia="FangSong_GB2312" w:hAnsi="FangSong_GB2312" w:cs="FangSong_GB2312"/>
                <w:color w:val="FF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lastRenderedPageBreak/>
              <w:t>主要教学环节设计</w:t>
            </w:r>
          </w:p>
          <w:p w:rsidR="005D2130" w:rsidRDefault="005D2130">
            <w:pPr>
              <w:pStyle w:val="BodyText"/>
            </w:pPr>
          </w:p>
        </w:tc>
        <w:tc>
          <w:tcPr>
            <w:tcW w:w="3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jc w:val="center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>课堂教学进程</w:t>
            </w:r>
          </w:p>
        </w:tc>
        <w:tc>
          <w:tcPr>
            <w:tcW w:w="3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jc w:val="center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>课堂教学设计</w:t>
            </w:r>
          </w:p>
        </w:tc>
      </w:tr>
      <w:tr w:rsidR="005D2130">
        <w:trPr>
          <w:trHeight w:val="1393"/>
        </w:trPr>
        <w:tc>
          <w:tcPr>
            <w:tcW w:w="1246" w:type="dxa"/>
            <w:vMerge/>
            <w:tcBorders>
              <w:left w:val="single" w:sz="12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5D2130">
            <w:pPr>
              <w:widowControl/>
            </w:pPr>
          </w:p>
        </w:tc>
        <w:tc>
          <w:tcPr>
            <w:tcW w:w="3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jc w:val="center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>上次课复习</w:t>
            </w:r>
          </w:p>
        </w:tc>
        <w:tc>
          <w:tcPr>
            <w:tcW w:w="3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/>
            </w:r>
          </w:p>
        </w:tc>
      </w:tr>
      <w:tr w:rsidR="005D2130">
        <w:trPr>
          <w:trHeight w:val="1393"/>
        </w:trPr>
        <w:tc>
          <w:tcPr>
            <w:tcW w:w="1246" w:type="dxa"/>
            <w:vMerge/>
            <w:tcBorders>
              <w:left w:val="single" w:sz="12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5D2130">
            <w:pPr>
              <w:widowControl/>
            </w:pPr>
          </w:p>
        </w:tc>
        <w:tc>
          <w:tcPr>
            <w:tcW w:w="3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line="400" w:lineRule="exact"/>
              <w:jc w:val="center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>课程导入</w:t>
            </w:r>
          </w:p>
        </w:tc>
        <w:tc>
          <w:tcPr>
            <w:tcW w:w="3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【教学组织】以日常交互失败案例引入，展示可用性与体验的差距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【教学方法】理论讲授、案例分析、产品逆向体验拆解小组实战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【时间安排】约25分钟（0.6理论学时）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【课堂思考】</w:t>
            </w:r>
          </w:p>
        </w:tc>
      </w:tr>
      <w:tr w:rsidR="005D2130">
        <w:trPr>
          <w:trHeight w:val="1503"/>
        </w:trPr>
        <w:tc>
          <w:tcPr>
            <w:tcW w:w="1246" w:type="dxa"/>
            <w:vMerge/>
            <w:tcBorders>
              <w:left w:val="single" w:sz="12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5D2130">
            <w:pPr>
              <w:widowControl/>
            </w:pPr>
          </w:p>
        </w:tc>
        <w:tc>
          <w:tcPr>
            <w:tcW w:w="3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jc w:val="center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>新课讲授</w:t>
            </w:r>
          </w:p>
        </w:tc>
        <w:tc>
          <w:tcPr>
            <w:tcW w:w="3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【教学组织】交互设计本质定义、可用性目标（ISO 9241）、体验目标框架、Norman 设计心理学基础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【教学方法】理论讲授、案例分析、产品逆向体验拆解小组实战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【时间安排】约110分钟（2.4理论学时）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【课堂思考】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【课程思政融入点】结合本土互联网产品出海案例，增强数字化创新自信</w:t>
            </w:r>
          </w:p>
        </w:tc>
      </w:tr>
      <w:tr w:rsidR="005D2130">
        <w:trPr>
          <w:trHeight w:val="1503"/>
        </w:trPr>
        <w:tc>
          <w:tcPr>
            <w:tcW w:w="1246" w:type="dxa"/>
            <w:vMerge/>
            <w:tcBorders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5D2130">
            <w:pPr>
              <w:widowControl/>
              <w:rPr>
                <w:rFonts w:ascii="FangSong_GB2312" w:eastAsia="FangSong_GB2312" w:hAnsi="FangSong_GB2312" w:cs="FangSong_GB2312"/>
                <w:b/>
                <w:bCs/>
                <w:color w:val="FF0000"/>
                <w:kern w:val="0"/>
                <w:sz w:val="24"/>
              </w:rPr>
            </w:pPr>
          </w:p>
        </w:tc>
        <w:tc>
          <w:tcPr>
            <w:tcW w:w="3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jc w:val="center"/>
              <w:rPr>
                <w:rFonts w:ascii="FangSong_GB2312" w:eastAsia="FangSong_GB2312" w:hAnsi="FangSong_GB2312" w:cs="FangSong_GB2312"/>
                <w:b/>
                <w:bCs/>
                <w:color w:val="FF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b/>
                <w:bCs/>
                <w:color w:val="FF0000"/>
                <w:kern w:val="0"/>
                <w:sz w:val="24"/>
              </w:rPr>
              <w:t>实践训练</w:t>
            </w:r>
          </w:p>
        </w:tc>
        <w:tc>
          <w:tcPr>
            <w:tcW w:w="3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【教学组织】产品逆向体验拆解小组实战——分组选取产品，按可用性/体验双维度解剖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【教学方法】理论讲授、案例分析、产品逆向体验拆解小组实战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【时间安排】约35分钟（0.8实践学时）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【课堂思考】</w:t>
            </w:r>
          </w:p>
        </w:tc>
      </w:tr>
      <w:tr w:rsidR="005D2130">
        <w:trPr>
          <w:trHeight w:val="1503"/>
        </w:trPr>
        <w:tc>
          <w:tcPr>
            <w:tcW w:w="1246" w:type="dxa"/>
            <w:tcBorders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5D2130">
            <w:pPr>
              <w:widowControl/>
              <w:rPr>
                <w:rFonts w:ascii="FangSong_GB2312" w:eastAsia="FangSong_GB2312" w:hAnsi="FangSong_GB2312" w:cs="FangSong_GB2312"/>
                <w:b/>
                <w:bCs/>
                <w:color w:val="FF0000"/>
                <w:kern w:val="0"/>
                <w:sz w:val="24"/>
              </w:rPr>
            </w:pPr>
          </w:p>
        </w:tc>
        <w:tc>
          <w:tcPr>
            <w:tcW w:w="3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jc w:val="center"/>
              <w:rPr>
                <w:rFonts w:ascii="FangSong_GB2312" w:eastAsia="FangSong_GB2312" w:hAnsi="FangSong_GB2312" w:cs="FangSong_GB2312"/>
                <w:b/>
                <w:bCs/>
                <w:color w:val="FF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b/>
                <w:bCs/>
                <w:color w:val="FF0000"/>
                <w:kern w:val="0"/>
                <w:sz w:val="24"/>
              </w:rPr>
              <w:t>课程小结</w:t>
            </w:r>
          </w:p>
        </w:tc>
        <w:tc>
          <w:tcPr>
            <w:tcW w:w="3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【教学组织】汇报各组拆解发现，总结可用性与体验的评估框架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【时间安排】约10分钟（3.2实践学时）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【课程回顾与反思】</w:t>
            </w:r>
          </w:p>
        </w:tc>
      </w:tr>
      <w:tr w:rsidR="005D2130">
        <w:trPr>
          <w:trHeight w:val="2934"/>
        </w:trPr>
        <w:tc>
          <w:tcPr>
            <w:tcW w:w="1246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课后作业</w:t>
            </w:r>
          </w:p>
        </w:tc>
        <w:tc>
          <w:tcPr>
            <w:tcW w:w="7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:rsidR="005D2130" w:rsidRDefault="00000000">
            <w:pPr>
              <w:widowControl/>
              <w:ind w:left="57"/>
              <w:rPr>
                <w:rFonts w:ascii="FangSong_GB2312" w:eastAsia="FangSong_GB2312" w:hAnsi="FangSong_GB2312" w:cs="FangSong_GB2312"/>
                <w:bCs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FF0000"/>
                <w:kern w:val="0"/>
                <w:sz w:val="24"/>
              </w:rPr>
              <w:t xml:space="preserve">选取一款常用互联网产品，从可用性目标与体验目标两个维度进行逆向拆解分析，提交分析报告（约800字）。</w:t>
            </w:r>
          </w:p>
        </w:tc>
      </w:tr>
    </w:tbl>
    <w:p w:rsidR="0022292F" w:rsidRDefault="0022292F"/>
    <w:sectPr w:rsidR="0022292F">
      <w:pgSz w:w="11906" w:h="16838"/>
      <w:pgMar w:top="1134" w:right="1587" w:bottom="1134" w:left="1587" w:header="851" w:footer="992" w:gutter="0"/>
      <w:cols w:space="720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Songti TC">
    <w:panose1 w:val="02010600040101010101"/>
    <w:charset w:val="88"/>
    <w:family w:val="auto"/>
    <w:pitch w:val="variable"/>
    <w:sig w:usb0="00000287" w:usb1="080F0000" w:usb2="00000010" w:usb3="00000000" w:csb0="0014009F" w:csb1="00000000"/>
  </w:font>
  <w:font w:name="Microsoft YaHei">
    <w:altName w:val="微软雅黑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FangSong_GB2312">
    <w:panose1 w:val="020B0604020202020204"/>
    <w:charset w:val="86"/>
    <w:family w:val="modern"/>
    <w:pitch w:val="fixed"/>
    <w:sig w:usb0="00000001" w:usb1="080E0000" w:usb2="00000010" w:usb3="00000000" w:csb0="00040001" w:csb1="00000000"/>
  </w:font>
  <w:font w:name="FangSong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singleLevel"/>
    <w:tmpl w:val="00000001"/>
    <w:lvl w:ilvl="0">
      <w:start w:val="3"/>
      <w:numFmt w:val="decimal"/>
      <w:lvlText w:val="%1."/>
      <w:lvlJc w:val="left"/>
      <w:pPr>
        <w:tabs>
          <w:tab w:val="num" w:pos="312"/>
        </w:tabs>
      </w:pPr>
    </w:lvl>
  </w:abstractNum>
  <w:num w:numId="1" w16cid:durableId="18791185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5"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420"/>
  <w:drawingGridVerticalSpacing w:val="156"/>
  <w:displayHorizontalDrawingGridEvery w:val="0"/>
  <w:displayVerticalDrawingGridEvery w:val="2"/>
  <w:doNotShadeFormData/>
  <w:characterSpacingControl w:val="compressPunctuation"/>
  <w:doNotValidateAgainstSchema/>
  <w:doNotDemarcateInvalidXml/>
  <w:compat>
    <w:spaceForUL/>
    <w:balanceSingleByteDoubleByteWidth/>
    <w:doNotLeaveBackslashAlone/>
    <w:ulTrailSpace/>
    <w:doNotExpandShiftReturn/>
    <w:adjustLineHeightInTable/>
    <w:doNotBreakWrappedTables/>
    <w:doNotWrapTextWithPunct/>
    <w:doNotUseEastAsianBreak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172A27"/>
    <w:rsid w:val="00076B33"/>
    <w:rsid w:val="00172A27"/>
    <w:rsid w:val="0022292F"/>
    <w:rsid w:val="002F2727"/>
    <w:rsid w:val="003D2ECA"/>
    <w:rsid w:val="004735D8"/>
    <w:rsid w:val="005D2130"/>
    <w:rsid w:val="00814DB5"/>
    <w:rsid w:val="00847CC0"/>
    <w:rsid w:val="009E03DC"/>
    <w:rsid w:val="00A84FA5"/>
    <w:rsid w:val="00AB4CE7"/>
    <w:rsid w:val="00C171A4"/>
    <w:rsid w:val="00C6637F"/>
    <w:rsid w:val="00CF1651"/>
    <w:rsid w:val="00E319C8"/>
    <w:rsid w:val="00F45D96"/>
    <w:rsid w:val="00F46C66"/>
    <w:rsid w:val="02587777"/>
    <w:rsid w:val="02C646E1"/>
    <w:rsid w:val="037A5CAB"/>
    <w:rsid w:val="03FC0C54"/>
    <w:rsid w:val="05557F9E"/>
    <w:rsid w:val="05FE0636"/>
    <w:rsid w:val="083D5445"/>
    <w:rsid w:val="08517143"/>
    <w:rsid w:val="094F50BC"/>
    <w:rsid w:val="09575B61"/>
    <w:rsid w:val="09604DC0"/>
    <w:rsid w:val="097F1E15"/>
    <w:rsid w:val="0A453385"/>
    <w:rsid w:val="0C0E7282"/>
    <w:rsid w:val="0C9B098C"/>
    <w:rsid w:val="0EE52B02"/>
    <w:rsid w:val="0F9C5147"/>
    <w:rsid w:val="10AD5132"/>
    <w:rsid w:val="10F468BD"/>
    <w:rsid w:val="11867E5D"/>
    <w:rsid w:val="1811244B"/>
    <w:rsid w:val="18C5680A"/>
    <w:rsid w:val="195A572B"/>
    <w:rsid w:val="198C750A"/>
    <w:rsid w:val="1A566262"/>
    <w:rsid w:val="1ACC7E31"/>
    <w:rsid w:val="1AD324E0"/>
    <w:rsid w:val="1BB6337D"/>
    <w:rsid w:val="1CBE5E6C"/>
    <w:rsid w:val="1FBC0019"/>
    <w:rsid w:val="22761828"/>
    <w:rsid w:val="27E234BC"/>
    <w:rsid w:val="28577E77"/>
    <w:rsid w:val="28BE1833"/>
    <w:rsid w:val="28C34FD4"/>
    <w:rsid w:val="29F00112"/>
    <w:rsid w:val="2A5A37DD"/>
    <w:rsid w:val="2C4B162F"/>
    <w:rsid w:val="2C5C731D"/>
    <w:rsid w:val="2DEF06E0"/>
    <w:rsid w:val="2EA11556"/>
    <w:rsid w:val="2EBF4557"/>
    <w:rsid w:val="2EEA5617"/>
    <w:rsid w:val="312E383F"/>
    <w:rsid w:val="31975317"/>
    <w:rsid w:val="32607DFF"/>
    <w:rsid w:val="33631954"/>
    <w:rsid w:val="37BC1633"/>
    <w:rsid w:val="391C6A91"/>
    <w:rsid w:val="39276F80"/>
    <w:rsid w:val="3C85293C"/>
    <w:rsid w:val="3C89266C"/>
    <w:rsid w:val="3DF022AF"/>
    <w:rsid w:val="4002774D"/>
    <w:rsid w:val="40F40090"/>
    <w:rsid w:val="42246753"/>
    <w:rsid w:val="426E3E72"/>
    <w:rsid w:val="42C50CCB"/>
    <w:rsid w:val="44BD4C3D"/>
    <w:rsid w:val="479341CD"/>
    <w:rsid w:val="48843EED"/>
    <w:rsid w:val="4D587BF8"/>
    <w:rsid w:val="4D844549"/>
    <w:rsid w:val="50610B72"/>
    <w:rsid w:val="54286685"/>
    <w:rsid w:val="576A20E7"/>
    <w:rsid w:val="597A115C"/>
    <w:rsid w:val="5C830F32"/>
    <w:rsid w:val="5E174F66"/>
    <w:rsid w:val="5E721356"/>
    <w:rsid w:val="5E7D3406"/>
    <w:rsid w:val="60F17CF0"/>
    <w:rsid w:val="61887CAF"/>
    <w:rsid w:val="61907397"/>
    <w:rsid w:val="627806C9"/>
    <w:rsid w:val="62F4054A"/>
    <w:rsid w:val="64087E32"/>
    <w:rsid w:val="645E744B"/>
    <w:rsid w:val="64801B8A"/>
    <w:rsid w:val="66D25ECE"/>
    <w:rsid w:val="67073DC9"/>
    <w:rsid w:val="69020CEC"/>
    <w:rsid w:val="6A8F4802"/>
    <w:rsid w:val="6A9470D2"/>
    <w:rsid w:val="6AA87672"/>
    <w:rsid w:val="6B178652"/>
    <w:rsid w:val="6B99520C"/>
    <w:rsid w:val="6E0A547D"/>
    <w:rsid w:val="6E330619"/>
    <w:rsid w:val="6FF53DC9"/>
    <w:rsid w:val="71F7189C"/>
    <w:rsid w:val="73795BF4"/>
    <w:rsid w:val="73EB05CF"/>
    <w:rsid w:val="73ED70EA"/>
    <w:rsid w:val="75766869"/>
    <w:rsid w:val="75ABDBFE"/>
    <w:rsid w:val="760049E6"/>
    <w:rsid w:val="765A4A48"/>
    <w:rsid w:val="775C1463"/>
    <w:rsid w:val="785C7CED"/>
    <w:rsid w:val="78747540"/>
    <w:rsid w:val="78FB568C"/>
    <w:rsid w:val="7A831494"/>
    <w:rsid w:val="7B004EF5"/>
    <w:rsid w:val="7D7E70D0"/>
    <w:rsid w:val="7DB303AF"/>
    <w:rsid w:val="7EFF414E"/>
    <w:rsid w:val="7FD91C23"/>
    <w:rsid w:val="A5D36F2F"/>
    <w:rsid w:val="ABFB8CB0"/>
    <w:rsid w:val="BFFD5A39"/>
    <w:rsid w:val="D7FFAE7F"/>
    <w:rsid w:val="F7EBCC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6D69FCC2"/>
  <w15:chartTrackingRefBased/>
  <w15:docId w15:val="{A5FEE207-FAD9-DB46-8B42-A5A4F4D60E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CN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next w:val="BodyText"/>
    <w:qFormat/>
    <w:pPr>
      <w:widowControl w:val="0"/>
      <w:jc w:val="both"/>
    </w:pPr>
    <w:rPr>
      <w:kern w:val="2"/>
      <w:sz w:val="21"/>
      <w:szCs w:val="24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pPr>
      <w:adjustRightInd w:val="0"/>
      <w:snapToGrid w:val="0"/>
      <w:spacing w:line="500" w:lineRule="atLeast"/>
    </w:pPr>
    <w:rPr>
      <w:rFonts w:ascii="SimSun"/>
      <w:bCs/>
      <w:sz w:val="28"/>
    </w:rPr>
  </w:style>
  <w:style w:type="paragraph" w:styleId="CommentText">
    <w:name w:val="annotation text"/>
    <w:basedOn w:val="Normal"/>
    <w:pPr>
      <w:jc w:val="left"/>
    </w:pPr>
  </w:style>
  <w:style w:type="paragraph" w:styleId="BodyText3">
    <w:name w:val="Body Text 3"/>
    <w:basedOn w:val="Normal"/>
    <w:rPr>
      <w:sz w:val="22"/>
      <w:szCs w:val="22"/>
    </w:rPr>
  </w:style>
  <w:style w:type="paragraph" w:styleId="Footer">
    <w:name w:val="footer"/>
    <w:basedOn w:val="Normal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Header">
    <w:name w:val="header"/>
    <w:basedOn w:val="Normal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NormalWeb">
    <w:name w:val="Normal (Web)"/>
    <w:basedOn w:val="Normal"/>
    <w:rPr>
      <w:sz w:val="24"/>
    </w:rPr>
  </w:style>
  <w:style w:type="table" w:styleId="TableGrid">
    <w:name w:val="Table Grid"/>
    <w:basedOn w:val="TableNormal"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rPr>
      <w:rFonts w:ascii="Times New Roman" w:eastAsia="SimSun" w:hAnsi="Times New Roman" w:cs="Times New Roman"/>
      <w:sz w:val="21"/>
      <w:szCs w:val="21"/>
    </w:rPr>
  </w:style>
  <w:style w:type="paragraph" w:styleId="NoSpacing">
    <w:name w:val="No Spacing"/>
    <w:qFormat/>
    <w:rPr>
      <w:rFonts w:ascii="Calibri" w:hAnsi="Calibri"/>
      <w:sz w:val="22"/>
      <w:szCs w:val="22"/>
      <w:lang w:val="en-US"/>
    </w:rPr>
  </w:style>
  <w:style w:type="character" w:customStyle="1" w:styleId="15">
    <w:name w:val="15"/>
    <w:rPr>
      <w:rFonts w:ascii="Times New Roman" w:eastAsia="SimSun" w:hAnsi="Times New Roman" w:cs="Times New Roman" w:hint="defaul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utf-8"/>
  <w:optimizeForBrowser/>
  <w:allowPNG/>
  <w:pixelsPerInch w:val="72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34</Words>
  <Characters>195</Characters>
  <Application>Microsoft Office Word</Application>
  <DocSecurity>0</DocSecurity>
  <PresentationFormat/>
  <Lines>1</Lines>
  <Paragraphs>1</Paragraphs>
  <ScaleCrop>false</ScaleCrop>
  <Manager/>
  <Company>jujumao</Company>
  <LinksUpToDate>false</LinksUpToDate>
  <CharactersWithSpaces>228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安徽大学本科教学课程教案</dc:title>
  <dc:subject/>
  <dc:creator>user</dc:creator>
  <cp:keywords/>
  <dc:description/>
  <cp:lastModifiedBy>林昕</cp:lastModifiedBy>
  <cp:revision>7</cp:revision>
  <dcterms:created xsi:type="dcterms:W3CDTF">2026-02-22T17:43:00Z</dcterms:created>
  <dcterms:modified xsi:type="dcterms:W3CDTF">2026-02-26T06:38:00Z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2052-12.9.0.25288</vt:lpwstr>
  </property>
  <property fmtid="{D5CDD505-2E9C-101B-9397-08002B2CF9AE}" pid="3" name="ICV">
    <vt:lpwstr>9FC81D4023DD1D445FF88A69D8088385_43</vt:lpwstr>
  </property>
  <property fmtid="{D5CDD505-2E9C-101B-9397-08002B2CF9AE}" pid="4" name="KSOTemplateDocerSaveRecord">
    <vt:lpwstr>eyJoZGlkIjoiZWRlYjNmNTQ1MzZkMTYyOWVmOTkwZmFjYjg5ZTRlZDgiLCJ1c2VySWQiOiIyODMwOTY2NDYifQ==</vt:lpwstr>
  </property>
</Properties>
</file>