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项目二  人类认知与心智摩擦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2.1 认知框架与记忆负荷；心智模型与界面隐喻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2.2 视觉热力与认知过载节点重构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2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知识目标：深入理解人类认知局限与短时记忆负荷，掌握心智模型与界面隐喻的映射规律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重点：心智模型匹配度与降低认知过载的设计法则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难点：洞察隐形心智摩擦节点并将抽象认知心理学应用于具体的交互重构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理论讲授、白板推演、热力图认知分析实践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W01 可用性与体验目标框架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【教学组织】以一组'看似好用却令人抓狂'的界面案例引入，揭示隐形认知摩擦的存在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【教学组织】认知框架（注意力/感知/记忆）、Miller 法则、心智模型匹配与隐喻设计、格式塔在界面中的应用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【时间安排】约110分钟（2.4理论学时）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【课程思政融入点】探讨无障碍与包容性设计，培养以人为本的同理心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【教学组织】视觉热力图认知分析——标注过载节点并推演重构方案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【教学组织】总结认知负荷控制的设计法则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【时间安排】约10分钟（3.2实践学时）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选取一个存在认知过载的界面，绘制其认知热力图，标注摩擦节点并提出至少 3 条基于心智模型理论的重构建议。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