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项目五  目标导向路径与架构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5.1 心流机制；前端页面状态流式拆解与编排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5.2 启动 实验2(Exp2)，起草应用状态流转白板图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5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知识目标：理解心流状态的触发条件，掌握前端页面状态机的流式拆解手法与逻辑编排能力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重点：目标导向的流式架构图设计与界面状态机的完整闭环设计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难点：抛弃静态页面思维，全面梳理考虑各种临界和中间状态的动态跳转逻辑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理论讲授、系统蓝图拆解、状态机白板绘图实操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W04 MVP 清单，引出需要逻辑架构支撑功能落地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【教学组织】演示一个看似完整但用户频繁迷路的应用流程，暴露缺乏状态机规划的混乱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【教学组织】心流机制与沉浸设计、目标导向设计方法论、状态机拆解（正常流/异常流/空状态）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【课程思政融入点】培养系统观念与全局视野，强调严谨逻辑推理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【教学组织】启动 实验2(Exp2)——白板绘制应用状态流转架构图，互查异常分支完备性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【教学组织】点评典型架构图，预告视觉系统构建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将 MVP 清单转化为完整的页面状态流转架构图（含正常流 + 至少 3 个异常分支），以白板图或 FigJam 形式提交。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