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115F2" w:rsidRDefault="00F912CE">
      <w:pPr>
        <w:rPr>
          <w:rFonts w:eastAsia="SimHei"/>
          <w:b/>
          <w:bCs/>
          <w:sz w:val="36"/>
        </w:rPr>
      </w:pPr>
      <w:r>
        <w:rPr>
          <w:rFonts w:ascii="SimSun" w:hAnsi="SimSun" w:cs="Tahoma"/>
          <w:noProof/>
          <w:sz w:val="32"/>
          <w:szCs w:val="32"/>
        </w:rPr>
        <w:drawing>
          <wp:inline distT="0" distB="0" distL="114300" distR="114300">
            <wp:extent cx="5580380" cy="1284873"/>
            <wp:effectExtent l="0" t="0" r="0" b="0"/>
            <wp:docPr id="1" name="图片 1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1" name="图片 1"/>
                    <ns4:cNvPicPr>
                      <ns3:picLocks noChangeAspect="1"/>
                    </ns4:cNvPicPr>
                  </ns4:nvPicPr>
                  <ns4:blipFill>
                    <ns3:blip r:embed="rId5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580380" cy="1284873"/>
                    </ns3:xfrm>
                    <ns3:prstGeom prst="rect">
                      <ns3:avLst/>
                    </ns3:prstGeom>
                    <ns3:noFill/>
                    <ns3:ln>
                      <ns3:noFill/>
                    </ns3:ln>
                  </ns4:spPr>
                </ns4:pic>
              </ns3:graphicData>
            </ns3:graphic>
          </wp:inline>
        </w:drawing>
      </w:r>
    </w:p>
    <w:p w:rsidR="006115F2" w:rsidRDefault="006115F2">
      <w:pPr>
        <w:rPr>
          <w:rFonts w:eastAsia="SimHei"/>
          <w:b/>
          <w:bCs/>
        </w:rPr>
      </w:pPr>
    </w:p>
    <w:p w:rsidR="006115F2" w:rsidRDefault="006115F2">
      <w:pPr>
        <w:jc w:val="center"/>
        <w:rPr>
          <w:rFonts w:eastAsia="SimHei"/>
          <w:b/>
          <w:bCs/>
          <w:sz w:val="72"/>
        </w:rPr>
      </w:pPr>
    </w:p>
    <w:p w:rsidR="006115F2" w:rsidRPr="00D04CC2" w:rsidRDefault="00000000">
      <w:pPr>
        <w:jc w:val="center"/>
        <w:rPr>
          <w:rFonts w:ascii="Songti TC" w:eastAsia="Songti TC" w:hAnsi="Songti TC" w:cs="Microsoft YaHei"/>
          <w:b/>
          <w:bCs/>
          <w:sz w:val="72"/>
          <w:szCs w:val="72"/>
        </w:rPr>
      </w:pPr>
      <w:r w:rsidRPr="00D04CC2">
        <w:rPr>
          <w:rFonts w:ascii="Songti TC" w:eastAsia="Songti TC" w:hAnsi="Songti TC" w:cs="Microsoft YaHei" w:hint="eastAsia"/>
          <w:b/>
          <w:bCs/>
          <w:sz w:val="72"/>
          <w:szCs w:val="72"/>
        </w:rPr>
        <w:t>教   案</w:t>
      </w:r>
    </w:p>
    <w:p w:rsidR="006115F2" w:rsidRPr="00D04CC2" w:rsidRDefault="00CA32AE">
      <w:pPr>
        <w:jc w:val="center"/>
        <w:rPr>
          <w:rFonts w:ascii="Songti TC" w:eastAsia="Songti TC" w:hAnsi="Songti TC" w:cs="Microsoft YaHei"/>
          <w:b/>
          <w:bCs/>
          <w:sz w:val="44"/>
        </w:rPr>
      </w:pPr>
      <w:r w:rsidRPr="00D04CC2">
        <w:rPr>
          <w:rFonts w:ascii="Songti TC" w:eastAsia="Songti TC" w:hAnsi="Songti TC" w:cs="Microsoft YaHei" w:hint="eastAsia"/>
          <w:b/>
          <w:bCs/>
          <w:sz w:val="44"/>
        </w:rPr>
        <w:t xml:space="preserve">2025～2026学年第二学期</w:t>
      </w:r>
    </w:p>
    <w:p w:rsidR="006115F2" w:rsidRDefault="006115F2">
      <w:pPr>
        <w:rPr>
          <w:sz w:val="30"/>
        </w:rPr>
      </w:pPr>
    </w:p>
    <w:p w:rsidR="006115F2" w:rsidRDefault="006115F2">
      <w:pPr>
        <w:rPr>
          <w:sz w:val="24"/>
        </w:rPr>
      </w:pPr>
    </w:p>
    <w:tbl>
      <w:tblPr>
        <w:tblW w:w="10489" w:type="dxa"/>
        <w:jc w:val="center"/>
        <w:tblLayout w:type="fixed"/>
        <w:tblLook w:val="0000" w:firstRow="0" w:lastRow="0" w:firstColumn="0" w:lastColumn="0" w:noHBand="0" w:noVBand="0"/>
      </w:tblPr>
      <w:tblGrid>
        <w:gridCol w:w="3161"/>
        <w:gridCol w:w="240"/>
        <w:gridCol w:w="7088"/>
      </w:tblGrid>
      <w:tr w:rsidR="006115F2" w:rsidTr="008B5DD2">
        <w:trPr>
          <w:trHeight w:hRule="exact" w:val="6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 程 名 称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交互产品开发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课程性质 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专业选修课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学分数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3.0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学时数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60</w:t>
            </w:r>
          </w:p>
        </w:tc>
      </w:tr>
      <w:tr w:rsidR="006115F2" w:rsidTr="008B5DD2">
        <w:trPr>
          <w:trHeight w:hRule="exact" w:val="513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授课对象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2023级数字媒体艺术影视班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开课单位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BE716E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设计学院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主 讲 教 师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E53FF1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林昕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职 称 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无</w:t>
            </w:r>
          </w:p>
        </w:tc>
      </w:tr>
      <w:tr w:rsidR="006115F2" w:rsidTr="008B5DD2">
        <w:trPr>
          <w:trHeight w:hRule="exact" w:val="510"/>
          <w:jc w:val="center"/>
        </w:trPr>
        <w:tc>
          <w:tcPr>
            <w:tcW w:w="3161" w:type="dxa"/>
            <w:vAlign w:val="center"/>
          </w:tcPr>
          <w:p w:rsidR="006115F2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课程团队教师（职称）</w:t>
            </w:r>
          </w:p>
        </w:tc>
        <w:tc>
          <w:tcPr>
            <w:tcW w:w="240" w:type="dxa"/>
            <w:tcMar>
              <w:left w:w="28" w:type="dxa"/>
              <w:right w:w="28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708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6115F2" w:rsidRPr="005E76D2" w:rsidRDefault="008851B4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5E76D2"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 xml:space="preserve">无</w:t>
            </w:r>
          </w:p>
        </w:tc>
      </w:tr>
    </w:tbl>
    <w:p w:rsidR="006115F2" w:rsidRDefault="006115F2">
      <w:pPr>
        <w:tabs>
          <w:tab w:val="left" w:pos="7080"/>
        </w:tabs>
        <w:rPr>
          <w:rFonts w:eastAsia="STZhongsong"/>
          <w:sz w:val="24"/>
        </w:rPr>
      </w:pPr>
    </w:p>
    <w:p w:rsidR="006115F2" w:rsidRDefault="006115F2">
      <w:pPr>
        <w:tabs>
          <w:tab w:val="left" w:pos="7080"/>
        </w:tabs>
        <w:rPr>
          <w:rFonts w:eastAsia="STZhongsong"/>
          <w:sz w:val="24"/>
        </w:rPr>
      </w:pPr>
    </w:p>
    <w:p w:rsidR="006115F2" w:rsidRDefault="006115F2">
      <w:pPr>
        <w:tabs>
          <w:tab w:val="left" w:pos="7080"/>
        </w:tabs>
        <w:jc w:val="center"/>
        <w:rPr>
          <w:rFonts w:ascii="SimSun" w:hAnsi="SimSun"/>
          <w:sz w:val="32"/>
          <w:szCs w:val="32"/>
        </w:rPr>
      </w:pPr>
    </w:p>
    <w:p w:rsidR="006115F2" w:rsidRDefault="006115F2">
      <w:pPr>
        <w:pStyle w:val="BodyText"/>
        <w:rPr>
          <w:rFonts w:hAnsi="SimSun"/>
          <w:sz w:val="32"/>
          <w:szCs w:val="32"/>
        </w:rPr>
      </w:pPr>
    </w:p>
    <w:p w:rsidR="006115F2" w:rsidRDefault="006115F2">
      <w:pPr>
        <w:pStyle w:val="BodyText"/>
        <w:rPr>
          <w:rFonts w:hAnsi="SimSun"/>
          <w:sz w:val="32"/>
          <w:szCs w:val="32"/>
        </w:rPr>
      </w:pPr>
    </w:p>
    <w:p w:rsidR="006115F2" w:rsidRDefault="006115F2">
      <w:pPr>
        <w:pStyle w:val="BodyText"/>
        <w:rPr>
          <w:rFonts w:hAnsi="SimSun"/>
          <w:sz w:val="32"/>
          <w:szCs w:val="32"/>
        </w:rPr>
      </w:pPr>
    </w:p>
    <w:p w:rsidR="006115F2" w:rsidRDefault="00000000">
      <w:pPr>
        <w:tabs>
          <w:tab w:val="left" w:pos="7080"/>
        </w:tabs>
        <w:jc w:val="center"/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 w:val="28"/>
          <w:szCs w:val="28"/>
        </w:rPr>
        <w:t>广州南方学院教务处制</w:t>
      </w:r>
    </w:p>
    <w:p w:rsidR="006115F2" w:rsidRPr="005B6CE3" w:rsidRDefault="00000000">
      <w:pPr>
        <w:jc w:val="center"/>
        <w:rPr>
          <w:rFonts w:ascii="Songti TC" w:eastAsia="Songti TC" w:hAnsi="Songti TC" w:cs="Microsoft YaHei"/>
          <w:b/>
          <w:spacing w:val="20"/>
          <w:sz w:val="2"/>
        </w:rPr>
      </w:pPr>
      <w:r w:rsidRPr="005B6CE3">
        <w:rPr>
          <w:rFonts w:ascii="Songti TC" w:eastAsia="Songti TC" w:hAnsi="Songti TC" w:cs="Microsoft YaHei" w:hint="eastAsia"/>
          <w:b/>
          <w:spacing w:val="20"/>
          <w:sz w:val="36"/>
        </w:rPr>
        <w:lastRenderedPageBreak/>
        <w:t>教案首页</w:t>
      </w:r>
    </w:p>
    <w:p w:rsidR="006115F2" w:rsidRDefault="006115F2">
      <w:pPr>
        <w:jc w:val="center"/>
        <w:rPr>
          <w:b/>
          <w:spacing w:val="20"/>
          <w:sz w:val="2"/>
          <w:u w:val="singl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2"/>
        <w:gridCol w:w="4056"/>
        <w:gridCol w:w="618"/>
        <w:gridCol w:w="1274"/>
        <w:gridCol w:w="752"/>
        <w:gridCol w:w="1536"/>
      </w:tblGrid>
      <w:tr w:rsidR="006115F2">
        <w:trPr>
          <w:cantSplit/>
          <w:trHeight w:val="615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 程</w:t>
            </w:r>
          </w:p>
          <w:p w:rsidR="006115F2" w:rsidRDefault="00000000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学 分</w:t>
            </w:r>
          </w:p>
        </w:tc>
        <w:tc>
          <w:tcPr>
            <w:tcW w:w="3555" w:type="dxa"/>
            <w:gridSpan w:val="2"/>
            <w:vAlign w:val="center"/>
          </w:tcPr>
          <w:p w:rsidR="006115F2" w:rsidRDefault="00AE5F04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3.0</w:t>
            </w:r>
          </w:p>
        </w:tc>
        <w:tc>
          <w:tcPr>
            <w:tcW w:w="2033" w:type="dxa"/>
            <w:vAlign w:val="center"/>
          </w:tcPr>
          <w:p w:rsidR="006115F2" w:rsidRDefault="00000000">
            <w:pPr>
              <w:spacing w:line="300" w:lineRule="exact"/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bookmarkStart w:id="13" w:name="OLE_LINK6"/>
            <w:r>
              <w:rPr>
                <w:rFonts w:ascii="FangSong_GB2312" w:eastAsia="FangSong_GB2312" w:hAnsi="FangSong_GB2312" w:cs="FangSong_GB2312" w:hint="eastAsia"/>
                <w:sz w:val="24"/>
              </w:rPr>
              <w:t>课程学时安排</w:t>
            </w:r>
            <w:bookmarkEnd w:id="13"/>
          </w:p>
        </w:tc>
        <w:tc>
          <w:tcPr>
            <w:tcW w:w="2413" w:type="dxa"/>
            <w:gridSpan w:val="2"/>
            <w:tcBorders>
              <w:righ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理论：0</w:t>
            </w:r>
            <w:bookmarkStart w:id="14" w:name="OLE_LINK7"/>
            <w:bookmarkEnd w:id="14"/>
            <w:r>
              <w:rPr>
                <w:rFonts w:ascii="FangSong_GB2312" w:eastAsia="FangSong_GB2312" w:hAnsi="FangSong_GB2312" w:cs="FangSong_GB2312" w:hint="eastAsia"/>
                <w:sz w:val="24"/>
              </w:rPr>
              <w:t>学时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实践：60</w:t>
            </w:r>
            <w:r>
              <w:rPr>
                <w:rFonts w:ascii="FangSong_GB2312" w:eastAsia="FangSong_GB2312" w:hAnsi="FangSong_GB2312" w:cs="FangSong_GB2312" w:hint="eastAsia"/>
                <w:sz w:val="24"/>
              </w:rPr>
              <w:t>学时</w:t>
            </w:r>
          </w:p>
        </w:tc>
      </w:tr>
      <w:tr w:rsidR="006115F2">
        <w:trPr>
          <w:cantSplit/>
          <w:trHeight w:val="1701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bookmarkStart w:id="17" w:name="OLE_LINK11"/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教材和主要参考资</w:t>
            </w: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料</w:t>
            </w:r>
            <w:bookmarkEnd w:id="17"/>
          </w:p>
        </w:tc>
        <w:tc>
          <w:tcPr>
            <w:tcW w:w="8001" w:type="dxa"/>
            <w:gridSpan w:val="5"/>
            <w:tcBorders>
              <w:right w:val="single" w:sz="12" w:space="0" w:color="auto"/>
            </w:tcBorders>
            <w:vAlign w:val="center"/>
          </w:tcPr>
          <w:p w:rsidR="006115F2" w:rsidRDefault="00000000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>1.</w:t>
            </w:r>
            <w:bookmarkStart w:id="19" w:name="OLE_LINK8"/>
            <w:bookmarkStart w:id="20" w:name="OLE_LINK5"/>
            <w:r>
              <w:rPr>
                <w:rFonts w:ascii="FangSong_GB2312" w:eastAsia="FangSong_GB2312" w:hAnsi="FangSong_GB2312" w:cs="FangSong_GB2312" w:hint="eastAsia"/>
                <w:sz w:val="24"/>
              </w:rPr>
              <w:t>选用教材</w:t>
            </w:r>
            <w:bookmarkEnd w:id="19"/>
            <w:r>
              <w:rPr>
                <w:rFonts w:ascii="FangSong_GB2312" w:eastAsia="FangSong_GB2312" w:hAnsi="FangSong_GB2312" w:cs="FangSong_GB2312" w:hint="eastAsia"/>
                <w:sz w:val="24"/>
              </w:rPr>
              <w:t>：</w:t>
            </w:r>
            <w:bookmarkEnd w:id="20"/>
          </w:p>
          <w:p w:rsidR="006115F2" w:rsidRDefault="00AE5F04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Yvonne Rogers, Helen Sharp, Jennifer Preece 著；刘晓晖 等译.交互设计：超越人机交互（原书第5版）[M].机械工业出版社,2020.</w:t>
            </w:r>
          </w:p>
          <w:p w:rsidR="006115F2" w:rsidRDefault="00000000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>2.</w:t>
            </w:r>
            <w:bookmarkStart w:id="22" w:name="OLE_LINK9"/>
            <w:r>
              <w:rPr>
                <w:rFonts w:ascii="FangSong_GB2312" w:eastAsia="FangSong_GB2312" w:hAnsi="FangSong_GB2312" w:cs="FangSong_GB2312" w:hint="eastAsia"/>
                <w:sz w:val="24"/>
              </w:rPr>
              <w:t>参考书目与文献</w:t>
            </w:r>
            <w:bookmarkEnd w:id="22"/>
            <w:r>
              <w:rPr>
                <w:rFonts w:ascii="FangSong_GB2312" w:eastAsia="FangSong_GB2312" w:hAnsi="FangSong_GB2312" w:cs="FangSong_GB2312" w:hint="eastAsia"/>
                <w:sz w:val="24"/>
              </w:rPr>
              <w:t>：</w:t>
            </w:r>
          </w:p>
          <w:p w:rsidR="006115F2" w:rsidRDefault="00AE5F04" w:rsidP="00C11D9F"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(1)Yvonne Rogers, Helen Sharp, Jennifer Preece.Interaction Design: Beyond Human-Computer Interaction (6th Ed.)[M].Wiley,2023.</w:t>
            </w:r>
          </w:p>
          <w:p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(2)Jeff Gothelf, Josh Seiden.精益 UX：设计伟大产品的敏捷反求方法 (Lean UX)[M].人民邮电出版社,2022.</w:t>
            </w:r>
          </w:p>
          <w:p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(3)Alan Cooper.交互设计精髓 (About Face 4)[M].电子工业出版社,2015.</w:t>
            </w:r>
          </w:p>
          <w:p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(4)Adam Wathan, Steve Schoger.Refactoring UI[M].Self-Published,2018.</w:t>
            </w:r>
          </w:p>
          <w:p>
            <w:pPr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(5)张靖瑶.数字媒体交互设计（慕课版）[M].人民邮电出版社,2022.</w:t>
            </w:r>
          </w:p>
          <w:p w:rsidR="006115F2" w:rsidRDefault="00000000" w:rsidP="00C11D9F">
            <w:pPr>
              <w:numPr>
                <w:ilvl w:val="0"/>
                <w:numId w:val="1"/>
              </w:numPr>
              <w:tabs>
                <w:tab w:val="left" w:pos="312"/>
              </w:tabs>
              <w:spacing w:line="400" w:lineRule="exact"/>
              <w:jc w:val="left"/>
              <w:rPr>
                <w:rFonts w:ascii="FangSong_GB2312" w:eastAsia="FangSong_GB2312" w:hAnsi="FangSong_GB2312" w:cs="FangSong_GB2312"/>
                <w:sz w:val="24"/>
              </w:rPr>
            </w:pPr>
            <w:bookmarkStart w:id="24" w:name="OLE_LINK10"/>
            <w:r>
              <w:rPr>
                <w:rFonts w:ascii="FangSong_GB2312" w:eastAsia="FangSong_GB2312" w:hAnsi="FangSong_GB2312" w:cs="FangSong_GB2312" w:hint="eastAsia"/>
                <w:sz w:val="24"/>
              </w:rPr>
              <w:t>课程网站等支持条件</w:t>
            </w:r>
            <w:bookmarkEnd w:id="24"/>
            <w:r>
              <w:rPr>
                <w:rFonts w:ascii="FangSong_GB2312" w:eastAsia="FangSong_GB2312" w:hAnsi="FangSong_GB2312" w:cs="FangSong_GB2312" w:hint="eastAsia"/>
                <w:sz w:val="24"/>
              </w:rPr>
              <w:t>：</w:t>
            </w:r>
          </w:p>
          <w:p w:rsidR="00AE5F04" w:rsidRPr="00AE5F04" w:rsidRDefault="00AE5F04" w:rsidP="00C11D9F">
            <w:pPr>
              <w:pStyle w:val="BodyText"/>
              <w:adjustRightInd/>
              <w:spacing w:line="400" w:lineRule="exact"/>
              <w:rPr>
                <w:rFonts w:ascii="FangSong_GB2312" w:eastAsia="FangSong_GB2312" w:hAnsi="FangSong_GB2312" w:cs="FangSong_GB2312"/>
                <w:bCs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 w:val="0"/>
                <w:sz w:val="24"/>
              </w:rPr>
              <w:t xml:space="preserve">(1)校内在线教学平台（学习通课件发布、作业提交与互动讨论）。</w:t>
            </w:r>
          </w:p>
          <w:p>
            <w:pPr>
              <w:pStyle w:val="BodyText"/>
              <w:adjustRightInd/>
              <w:spacing w:line="400" w:lineRule="exact"/>
              <w:rPr>
                <w:rFonts w:ascii="FangSong_GB2312" w:eastAsia="FangSong_GB2312" w:hAnsi="FangSong_GB2312" w:cs="FangSong_GB2312"/>
                <w:bCs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 w:val="0"/>
                <w:sz w:val="24"/>
              </w:rPr>
              <w:t xml:space="preserve">(2)软件支持：Figma、Visual Studio Code、v0 / CodeGeeX 等 AI 代码辅助工具。</w:t>
            </w:r>
          </w:p>
          <w:p>
            <w:pPr>
              <w:pStyle w:val="BodyText"/>
              <w:adjustRightInd/>
              <w:spacing w:line="400" w:lineRule="exact"/>
              <w:rPr>
                <w:rFonts w:ascii="FangSong_GB2312" w:eastAsia="FangSong_GB2312" w:hAnsi="FangSong_GB2312" w:cs="FangSong_GB2312"/>
                <w:bCs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 w:val="0"/>
                <w:sz w:val="24"/>
              </w:rPr>
              <w:t xml:space="preserve">(3)教室与实验室条件：投影设备、多媒体教室、计算机实验室。</w:t>
            </w:r>
          </w:p>
        </w:tc>
      </w:tr>
      <w:tr w:rsidR="006115F2">
        <w:trPr>
          <w:cantSplit/>
          <w:trHeight w:val="2948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授课对象学情分析</w:t>
            </w:r>
          </w:p>
        </w:tc>
        <w:tc>
          <w:tcPr>
            <w:tcW w:w="8001" w:type="dxa"/>
            <w:gridSpan w:val="5"/>
            <w:tcBorders>
              <w:right w:val="single" w:sz="12" w:space="0" w:color="auto"/>
            </w:tcBorders>
            <w:vAlign w:val="center"/>
          </w:tcPr>
          <w:p w:rsidR="006115F2" w:rsidRDefault="00AE5F04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本课程面向数字媒体艺术专业大三学生（23级），已完成用户体验设计等先修课程，具备基本的设计思维与交互原型能力。学生普遍擅长视觉设计工具（Figma/PS），但前端开发与代码调试经验不足。课程引入 Vibe Coding 范式与 AI 代码助手，帮助学生跨越前端工程门槛，聚焦于交互体验与可用性验证的核心能力培养。</w:t>
            </w:r>
          </w:p>
        </w:tc>
      </w:tr>
      <w:tr w:rsidR="006115F2">
        <w:trPr>
          <w:trHeight w:val="4965"/>
        </w:trPr>
        <w:tc>
          <w:tcPr>
            <w:tcW w:w="947" w:type="dxa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bookmarkStart w:id="28" w:name="OLE_LINK13"/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课程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目标</w:t>
            </w:r>
            <w:bookmarkEnd w:id="28"/>
          </w:p>
        </w:tc>
        <w:tc>
          <w:tcPr>
            <w:tcW w:w="8001" w:type="dxa"/>
            <w:gridSpan w:val="5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（一）知识目标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2. 分析人类认知局限与短时记忆负荷对界面设计的约束机理，运用心智模型匹配与降低认知过载的设计法则重构具体界面案例。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3. 执行以 Nielsen 十大可用性原则为核心的启发式评估方法，并依据 Think-Aloud 出声思考法的科学规范主持用户测试、评定缺陷严重级。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（二）能力目标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1. 能够运用目标导向设计思路与 Vibe Coding 范式，独立完成具有创新性与原创性的交互体验原型设计。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2. 能将容器化工程思维与 Design Token 体系系统化地应用于项目实践，实现从设计稿到前端组件的高保真映射。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3. 能以评估专家身份客观执行跨组启发式走查与用户测试，基于质性数据系统梳理反馈并完成闭环迭代优化。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（三）素质目标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1. 具备运用文字、图像、原型演示等多种方式清晰阐述设计理念的表达适应能力，能在路演答辩与同侪互评中高效沟通。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2. 具备面对 AI 生成代码不确定性时的工程韧性与自主排错意识，不盲从技术输出，坚持以人为本的设计价值观。</w:t>
            </w:r>
          </w:p>
          <w:p w:rsidR="006115F2" w:rsidRDefault="006115F2">
            <w:pPr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/>
                <w:sz w:val="24"/>
              </w:rPr>
              <w:t xml:space="preserve">3. 能在同侪互评与路演答辩中以建设性姿态接受批评，展现虚心协作与持续迭代改进的专业精神。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 w:val="restart"/>
            <w:tcBorders>
              <w:left w:val="single" w:sz="1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lastRenderedPageBreak/>
              <w:t>内容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课时</w:t>
            </w:r>
          </w:p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分配</w:t>
            </w: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bookmarkStart w:id="32" w:name="OLE_LINK1"/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章节</w:t>
            </w:r>
            <w:bookmarkEnd w:id="32"/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课程内容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6115F2" w:rsidRDefault="00000000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>学时数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项目一  交互体系概论基础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bookmarkStart w:id="37" w:name="OLE_LINK14"/>
            <w:bookmarkEnd w:id="37"/>
            <w:r>
              <w:rPr>
                <w:rFonts w:hint="eastAsia"/>
              </w:rPr>
              <w:t xml:space="preserve">1.1 交互与UX的本质定义；可用性与体验目标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项目二  人类认知与心智摩擦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2.1 认知框架与记忆负荷；心智模型与界面隐喻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2.2 视觉热力与认知过载节点重构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项目三  产品洞察与痛点切入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3.1 定性调研原则；敏捷业务痛点发掘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3.2 启动 实验1(Exp1)，拟定 JTBD 微调研方案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项目四  假设驱动与MVP构建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4.1 抛弃重型 Persona，假设驱动与极简场景的界定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4.2 完成 实验1(Exp1)，输出互动应用最小可行性清单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项目五  目标导向路径与架构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5.1 心流机制；前端页面状态流式拆解与编排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5.2 启动 实验2(Exp2)，起草应用状态流转白板图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项目六  容器工程化基础映射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6.1 DOM视觉映射机理；Figma AutoLayout 向 CSS Flex 的底层转化基础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6.2 在 Figma 搭建严苛响应式组件框架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项目七  视觉重构：层级与色彩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7.1 利用基础排版字重与空间感建立层级；HSL系统解析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7.2 为干瘪骨架填入视觉系统标签 (Tokens)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项目八  视觉重构：深度与防错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8.1 光影深度营造原则；处理极限/错误边界与情境反馈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8.2 收尾 实验2(Exp2)，建立视觉 Token Prompt 集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项目九  AI 原型协作结构化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9.1 大语言模型的人机协同系统架构法；界面生成 Prompt 工程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9.2 启动 实验3(Exp3)，通过 v0 生成应用初始视图壳层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项目十  前沿动效组件融入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10.1 前端交互特效融合机制；微观反馈的理论支撑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10.2 AI代码助手驱动实现跟随/粒子等基础创意动效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项目十一  逻辑排障与兜底策略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11.1 本地大模型代码辅助阅读规律；混合保真度演示机制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11.2 收尾 实验3(Exp3)，通过Figma修复串联断裂的状态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项目十二  启发式评估原理与应用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12.1 可用性客观评估标准引入；Nielsen十大可用性真理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12.2 启动 实验4(Exp4)，生生互评跨组走查日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项目十三  对话与可操作测试法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13.1 无硬件条件下的实验室降维版：出声思考(Think-Aloud)的科学执行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13.2 执行实地用户定性实验，深挖死角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项目十四  数据复盘与作品库凝练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14.1 体验设计作品库的闭环故事梳理核心心法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14.2 收尾 实验4(Exp4)，总结测试痛点并定版前后旅程对比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  <w:tr w:rsidR="006115F2">
        <w:trPr>
          <w:cantSplit/>
          <w:trHeight w:val="397"/>
        </w:trPr>
        <w:tc>
          <w:tcPr>
            <w:tcW w:w="947" w:type="dxa"/>
            <w:vMerge/>
            <w:tcBorders>
              <w:left w:val="single" w:sz="12" w:space="0" w:color="auto"/>
            </w:tcBorders>
            <w:vAlign w:val="center"/>
          </w:tcPr>
          <w:p w:rsidR="006115F2" w:rsidRDefault="006115F2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</w:rPr>
            </w:pPr>
          </w:p>
        </w:tc>
        <w:tc>
          <w:tcPr>
            <w:tcW w:w="2370" w:type="dxa"/>
            <w:tcBorders>
              <w:right w:val="single" w:sz="2" w:space="0" w:color="auto"/>
            </w:tcBorders>
            <w:vAlign w:val="center"/>
          </w:tcPr>
          <w:p w:rsidR="006115F2" w:rsidRDefault="0038020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  <w:lang w:eastAsia="zh"/>
              </w:rPr>
              <w:t xml:space="preserve">项目十五  课程综合路演检查</w:t>
            </w:r>
          </w:p>
        </w:tc>
        <w:tc>
          <w:tcPr>
            <w:tcW w:w="4663" w:type="dxa"/>
            <w:gridSpan w:val="3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6115F2" w:rsidRPr="008851B4" w:rsidRDefault="00380204" w:rsidP="008851B4"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15.1 学生最终交互单页的验收：侧重痛点挖掘到走查修改的闭环过程</w:t>
            </w:r>
          </w:p>
          <w:p>
            <w:pPr>
              <w:jc w:val="left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hint="eastAsia"/>
              </w:rPr>
              <w:t xml:space="preserve">1.2 产品体验的逆向拆解实验</w:t>
            </w:r>
          </w:p>
        </w:tc>
        <w:tc>
          <w:tcPr>
            <w:tcW w:w="968" w:type="dxa"/>
            <w:tcBorders>
              <w:left w:val="single" w:sz="2" w:space="0" w:color="auto"/>
              <w:right w:val="single" w:sz="12" w:space="0" w:color="auto"/>
            </w:tcBorders>
            <w:vAlign w:val="center"/>
          </w:tcPr>
          <w:p w:rsidR="006115F2" w:rsidRDefault="008851B4">
            <w:pPr>
              <w:jc w:val="center"/>
              <w:rPr>
                <w:rFonts w:ascii="FangSong_GB2312" w:eastAsia="FangSong_GB2312" w:hAnsi="FangSong_GB2312" w:cs="FangSong_GB2312"/>
                <w:bCs/>
                <w:sz w:val="24"/>
                <w:lang w:eastAsia="zh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sz w:val="24"/>
              </w:rPr>
              <w:t xml:space="preserve">4</w:t>
            </w:r>
          </w:p>
        </w:tc>
      </w:tr>
    </w:tbl>
    <w:p w:rsidR="00C2698F" w:rsidRDefault="00C2698F" w:rsidP="004A54FF">
      <w:pPr>
        <w:jc w:val="center"/>
        <w:rPr>
          <w:rFonts w:ascii="FangSong_GB2312" w:eastAsia="FangSong_GB2312" w:hAnsi="FangSong_GB2312" w:cs="FangSong_GB2312"/>
          <w:kern w:val="0"/>
          <w:szCs w:val="21"/>
        </w:rPr>
      </w:pPr>
    </w:p>
    <w:sectPr w:rsidR="00C2698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153F4B"/>
    <w:rsid w:val="00172A27"/>
    <w:rsid w:val="001B33AB"/>
    <w:rsid w:val="00380204"/>
    <w:rsid w:val="003D2ECA"/>
    <w:rsid w:val="004735D8"/>
    <w:rsid w:val="004A54FF"/>
    <w:rsid w:val="00574E02"/>
    <w:rsid w:val="005752F7"/>
    <w:rsid w:val="005B6CE3"/>
    <w:rsid w:val="005E76D2"/>
    <w:rsid w:val="006115F2"/>
    <w:rsid w:val="007B2F87"/>
    <w:rsid w:val="008851B4"/>
    <w:rsid w:val="00897958"/>
    <w:rsid w:val="008B5DD2"/>
    <w:rsid w:val="00917259"/>
    <w:rsid w:val="009E03DC"/>
    <w:rsid w:val="00A536E6"/>
    <w:rsid w:val="00AB4CE7"/>
    <w:rsid w:val="00AE5F04"/>
    <w:rsid w:val="00B866D4"/>
    <w:rsid w:val="00BD5494"/>
    <w:rsid w:val="00BE716E"/>
    <w:rsid w:val="00C11D9F"/>
    <w:rsid w:val="00C2698F"/>
    <w:rsid w:val="00C6637F"/>
    <w:rsid w:val="00CA32AE"/>
    <w:rsid w:val="00D04CC2"/>
    <w:rsid w:val="00D31C17"/>
    <w:rsid w:val="00E319C8"/>
    <w:rsid w:val="00E53FF1"/>
    <w:rsid w:val="00EC6450"/>
    <w:rsid w:val="00F46C66"/>
    <w:rsid w:val="00F912CE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link w:val="CommentTextChar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  <w:style w:type="paragraph" w:styleId="CommentSubject">
    <w:name w:val="annotation subject"/>
    <w:basedOn w:val="CommentText"/>
    <w:next w:val="CommentText"/>
    <w:link w:val="CommentSubjectChar"/>
    <w:rsid w:val="00AE5F04"/>
    <w:rPr>
      <w:b/>
      <w:bCs/>
    </w:rPr>
  </w:style>
  <w:style w:type="character" w:customStyle="1" w:styleId="CommentTextChar">
    <w:name w:val="Comment Text Char"/>
    <w:link w:val="CommentText"/>
    <w:rsid w:val="00AE5F04"/>
    <w:rPr>
      <w:rFonts w:ascii="Times New Roman" w:eastAsia="SimSun" w:hAnsi="Times New Roman" w:cs="Times New Roman"/>
      <w:kern w:val="2"/>
      <w:sz w:val="21"/>
      <w:szCs w:val="24"/>
      <w:lang w:val="en-US"/>
    </w:rPr>
  </w:style>
  <w:style w:type="character" w:customStyle="1" w:styleId="CommentSubjectChar">
    <w:name w:val="Comment Subject Char"/>
    <w:link w:val="CommentSubject"/>
    <w:rsid w:val="00AE5F04"/>
    <w:rPr>
      <w:rFonts w:ascii="Times New Roman" w:eastAsia="SimSun" w:hAnsi="Times New Roman" w:cs="Times New Roman"/>
      <w:b/>
      <w:bCs/>
      <w:kern w:val="2"/>
      <w:sz w:val="21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192</Words>
  <Characters>1097</Characters>
  <Application>Microsoft Office Word</Application>
  <DocSecurity>0</DocSecurity>
  <PresentationFormat/>
  <Lines>9</Lines>
  <Paragraphs>2</Paragraphs>
  <ScaleCrop>false</ScaleCrop>
  <Manager/>
  <Company>jujumao</Company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20</cp:revision>
  <dcterms:created xsi:type="dcterms:W3CDTF">2026-02-23T05:02:00Z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