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第一次课教案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第1章  数据作为媒介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1.1 认知外显：视觉系统、格式塔重构与自然语言建模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1 周，周五1-5节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10 周，周五1-5节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5学时（理论3，实践2）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具备运用现代信息技术手段获取、整理与呈现数据的能力，能以数字信息化手段系统性解决可视化项目问题。支撑课程素质目标（1），对应毕业要求5。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知识目标：理解数据可视化的基本概念与发展历程，掌握可视化有效性的基本分析框架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能力目标：初步体验无代码可视化工具与自然语言建模的映射关系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重点：可视化有效性的 What/Why/How 三大基石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难点：自然语言到视觉元素的映射关系理解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郝亚维, 张博文：信息可视化设计[M]. 电子工业出版社, 2023.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理论讲授、案例演示、工具实操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【教学组织】首节课开篇介绍课程概况与评估方式，以安斯库姆四重奏案例引入可视化的认知价值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【教学方法】理论讲授、案例演示、工具实操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【时间安排】约25分钟（0.6理论学时）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【教学组织】视觉感知与前注意处理原理、格式塔原则的图表映射、Vibe Coding 范式介绍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【教学方法】理论讲授、案例演示、工具实操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【时间安排】约110分钟（2.4理论学时）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【课程思政融入点】结合中国大数据发展战略，认识数据可视化在国家治理与社会服务中的作用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【教学组织】RAWGraphs 零代码数据映射与 AI 自然语言生成 (Vibe Coding) 初步比对实操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【教学方法】理论讲授、案例演示、工具实操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【时间安排】约75分钟（1.7实践学时）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【教学组织】回顾核心概念：可视化是认知外包而非装饰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自行选取一组合法公开数据集，运用 RAWGraphs 进行零代码映射探索，同时尝试撰写结构化 Prompt 驱动 AI 辅助工具生成对照图表。提交这两种范式下的图表产出及完整 Prompt 记录，配合 300 字设计决策说明分析两者优劣。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