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广州南方学院期末考试试卷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（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级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专业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2025 ～2026 学年度 第 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1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课程名称  实习指导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B  </w:t>
      </w:r>
      <w:r>
        <w:rPr>
          <w:rFonts w:ascii="Times New Roman" w:hAnsi="Times New Roman" w:cs="Times New Roman"/>
          <w:sz w:val="24"/>
          <w:sz-cs w:val="24"/>
        </w:rPr>
        <w:t xml:space="preserve">卷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考试形式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闭（开）卷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考核类型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考试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4"/>
          <w:sz-cs w:val="24"/>
        </w:rPr>
        <w:t xml:space="preserve">本试卷共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大题，卷面满分100分，答题时间120分钟。请将答案写于答题纸上，在试卷上作答无效。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1.颈椎的特征性结构是（   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A.横突肋凹</w:t>
        <w:tab/>
        <w:t xml:space="preserve"/>
        <w:tab/>
        <w:t xml:space="preserve"/>
        <w:tab/>
        <w:t xml:space="preserve"/>
        <w:tab/>
        <w:t xml:space="preserve">B.横突孔          C.横突           </w:t>
        <w:tab/>
        <w:t xml:space="preserve">D.上、下关节突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二、填空题：</w:t>
      </w:r>
      <w:r>
        <w:rPr>
          <w:rFonts w:ascii="Times" w:hAnsi="Times" w:cs="Times"/>
          <w:sz w:val="24"/>
          <w:sz-cs w:val="24"/>
          <w:b/>
        </w:rPr>
        <w:t xml:space="preserve">（共X空，每空X分，共X分）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人们在判断大众传播的影响力之际存在着一种普遍的感知定势，即倾向于认为大众媒介的信息（尤其是说服性信息或宣传以及负面信息）对“我”或“你”未必有多大影响，然而会对“他”人产生不可估量的影响，这是___________理论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1.踝关节被动活动技术中治疗师需要一手固定踝关节上方，另一手握足跟，在牵拉跟腱的同时，利用治疗师的前臂屈侧推压足跟。</w:t>
        <w:tab/>
        <w:t xml:space="preserve">（   </w:t>
        <w:tab/>
        <w:t xml:space="preserve">）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2.牵伸屈肘肌群可以增加肘关节伸直活动范围。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3.寰枢关节半脱位的患者首选坐位牵引。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1.肌腱袖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2.脊神经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1.简述体循环和肺循环的循环途径。（X分）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六、论述题：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1.试述设计偏瘫患者恢复期患侧上肢作业活动的原则。（X分）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-2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…………………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……密………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封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………………………装…………………订………………………线………………………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1200"/>
      </w:pPr>
      <w:r>
        <w:rPr>
          <w:rFonts w:ascii="Times New Roman" w:hAnsi="Times New Roman" w:cs="Times New Roman"/>
          <w:sz w:val="24"/>
          <w:sz-cs w:val="24"/>
        </w:rPr>
        <w:t xml:space="preserve">院系：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 专业（班级）：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> 姓名：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 学号：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签到表序号：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